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44"/>
          <w:szCs w:val="44"/>
          <w:lang w:val="en-US" w:eastAsia="zh-CN"/>
        </w:rPr>
      </w:pPr>
      <w:r>
        <w:rPr>
          <w:rFonts w:hint="eastAsia"/>
          <w:b/>
          <w:bCs/>
          <w:sz w:val="36"/>
          <w:szCs w:val="36"/>
          <w:lang w:val="en-US" w:eastAsia="zh-CN"/>
        </w:rPr>
        <w:t>财务管理专业课程思政体系</w:t>
      </w:r>
    </w:p>
    <w:p>
      <w:pPr>
        <w:rPr>
          <w:rFonts w:hint="eastAsia"/>
          <w:b/>
          <w:bCs/>
          <w:sz w:val="28"/>
          <w:szCs w:val="28"/>
        </w:rPr>
      </w:pPr>
    </w:p>
    <w:p>
      <w:pPr>
        <w:rPr>
          <w:rFonts w:hint="eastAsia"/>
          <w:b/>
          <w:bCs/>
          <w:sz w:val="28"/>
          <w:szCs w:val="28"/>
        </w:rPr>
      </w:pPr>
      <w:r>
        <w:rPr>
          <w:rFonts w:hint="eastAsia"/>
          <w:b/>
          <w:bCs/>
          <w:sz w:val="28"/>
          <w:szCs w:val="28"/>
        </w:rPr>
        <w:t>一、培养目标</w:t>
      </w:r>
    </w:p>
    <w:p>
      <w:pPr>
        <w:ind w:firstLine="420" w:firstLineChars="200"/>
        <w:rPr>
          <w:rFonts w:hint="eastAsia"/>
          <w:sz w:val="21"/>
          <w:szCs w:val="21"/>
        </w:rPr>
      </w:pPr>
      <w:r>
        <w:rPr>
          <w:rFonts w:hint="eastAsia"/>
          <w:sz w:val="21"/>
          <w:szCs w:val="21"/>
          <w:lang w:val="en-US" w:eastAsia="zh-CN"/>
        </w:rPr>
        <w:t>财务管理</w:t>
      </w:r>
      <w:r>
        <w:rPr>
          <w:rFonts w:hint="eastAsia"/>
          <w:sz w:val="21"/>
          <w:szCs w:val="21"/>
        </w:rPr>
        <w:t>专业旨在培养德智体美劳全面发展，基础实、能力强，系统掌握管理</w:t>
      </w:r>
      <w:r>
        <w:rPr>
          <w:rFonts w:hint="eastAsia"/>
          <w:sz w:val="21"/>
          <w:szCs w:val="21"/>
          <w:lang w:val="en-US" w:eastAsia="zh-CN"/>
        </w:rPr>
        <w:t>学</w:t>
      </w:r>
      <w:r>
        <w:rPr>
          <w:rFonts w:hint="eastAsia"/>
          <w:sz w:val="21"/>
          <w:szCs w:val="21"/>
        </w:rPr>
        <w:t>、</w:t>
      </w:r>
      <w:r>
        <w:rPr>
          <w:rFonts w:hint="eastAsia"/>
          <w:sz w:val="21"/>
          <w:szCs w:val="21"/>
          <w:lang w:val="en-US" w:eastAsia="zh-CN"/>
        </w:rPr>
        <w:t>经济学</w:t>
      </w:r>
      <w:r>
        <w:rPr>
          <w:rFonts w:hint="eastAsia"/>
          <w:sz w:val="21"/>
          <w:szCs w:val="21"/>
        </w:rPr>
        <w:t>、</w:t>
      </w:r>
      <w:r>
        <w:rPr>
          <w:rFonts w:hint="eastAsia"/>
          <w:sz w:val="21"/>
          <w:szCs w:val="21"/>
          <w:lang w:val="en-US" w:eastAsia="zh-CN"/>
        </w:rPr>
        <w:t>财务管理学</w:t>
      </w:r>
      <w:r>
        <w:rPr>
          <w:rFonts w:hint="eastAsia"/>
          <w:sz w:val="21"/>
          <w:szCs w:val="21"/>
        </w:rPr>
        <w:t>和</w:t>
      </w:r>
      <w:r>
        <w:rPr>
          <w:rFonts w:hint="eastAsia"/>
          <w:sz w:val="21"/>
          <w:szCs w:val="21"/>
          <w:lang w:val="en-US" w:eastAsia="zh-CN"/>
        </w:rPr>
        <w:t>财经法规</w:t>
      </w:r>
      <w:r>
        <w:rPr>
          <w:rFonts w:hint="eastAsia"/>
          <w:sz w:val="21"/>
          <w:szCs w:val="21"/>
        </w:rPr>
        <w:t>等</w:t>
      </w:r>
      <w:r>
        <w:rPr>
          <w:rFonts w:hint="eastAsia"/>
          <w:sz w:val="21"/>
          <w:szCs w:val="21"/>
          <w:lang w:val="en-US" w:eastAsia="zh-CN"/>
        </w:rPr>
        <w:t>相关</w:t>
      </w:r>
      <w:r>
        <w:rPr>
          <w:rFonts w:hint="eastAsia"/>
          <w:sz w:val="21"/>
          <w:szCs w:val="21"/>
        </w:rPr>
        <w:t>知识，具有较强的市场意识和现代财务管理能力</w:t>
      </w:r>
      <w:r>
        <w:rPr>
          <w:rFonts w:hint="eastAsia"/>
          <w:sz w:val="21"/>
          <w:szCs w:val="21"/>
          <w:lang w:eastAsia="zh-CN"/>
        </w:rPr>
        <w:t>，</w:t>
      </w:r>
      <w:r>
        <w:rPr>
          <w:rFonts w:hint="eastAsia"/>
          <w:sz w:val="21"/>
          <w:szCs w:val="21"/>
        </w:rPr>
        <w:t>能够在企业、事业、政府等部门从事财务预测、决策与分析、纳税筹划、资产重组、风险管理、投资分析、资产评估等工作，遵守职业道德、</w:t>
      </w:r>
      <w:r>
        <w:rPr>
          <w:rFonts w:hint="eastAsia"/>
          <w:sz w:val="21"/>
          <w:szCs w:val="21"/>
          <w:lang w:val="en-US" w:eastAsia="zh-CN"/>
        </w:rPr>
        <w:t>拥有扎实的专业知识</w:t>
      </w:r>
      <w:r>
        <w:rPr>
          <w:rFonts w:hint="eastAsia"/>
          <w:sz w:val="21"/>
          <w:szCs w:val="21"/>
        </w:rPr>
        <w:t>、</w:t>
      </w:r>
      <w:r>
        <w:rPr>
          <w:rFonts w:hint="eastAsia"/>
          <w:sz w:val="21"/>
          <w:szCs w:val="21"/>
          <w:lang w:val="en-US" w:eastAsia="zh-CN"/>
        </w:rPr>
        <w:t>强健的身心体魄、</w:t>
      </w:r>
      <w:r>
        <w:rPr>
          <w:rFonts w:hint="eastAsia"/>
          <w:sz w:val="21"/>
          <w:szCs w:val="21"/>
        </w:rPr>
        <w:t>具有敬业精神和良好沟通能力、具有创新精神和创业意识、具有国际视野的高素质双证应用型人才。</w:t>
      </w:r>
    </w:p>
    <w:p>
      <w:pPr>
        <w:rPr>
          <w:rFonts w:hint="eastAsia"/>
          <w:b/>
          <w:bCs/>
          <w:sz w:val="28"/>
          <w:szCs w:val="28"/>
          <w:lang w:val="en-US" w:eastAsia="zh-CN"/>
        </w:rPr>
      </w:pPr>
      <w:r>
        <w:rPr>
          <w:rFonts w:hint="eastAsia"/>
          <w:b/>
          <w:bCs/>
          <w:sz w:val="28"/>
          <w:szCs w:val="28"/>
          <w:lang w:val="en-US" w:eastAsia="zh-CN"/>
        </w:rPr>
        <w:t>二、思政要求</w:t>
      </w:r>
    </w:p>
    <w:p>
      <w:pPr>
        <w:numPr>
          <w:numId w:val="0"/>
        </w:numPr>
        <w:rPr>
          <w:rFonts w:hint="default"/>
          <w:b w:val="0"/>
          <w:bCs w:val="0"/>
          <w:sz w:val="21"/>
          <w:szCs w:val="21"/>
          <w:lang w:val="en-US" w:eastAsia="zh-CN"/>
        </w:rPr>
      </w:pPr>
      <w:r>
        <w:rPr>
          <w:rFonts w:hint="eastAsia"/>
          <w:b w:val="0"/>
          <w:bCs w:val="0"/>
          <w:sz w:val="21"/>
          <w:szCs w:val="21"/>
          <w:lang w:val="en-US" w:eastAsia="zh-CN"/>
        </w:rPr>
        <w:t>（1）</w:t>
      </w:r>
      <w:r>
        <w:rPr>
          <w:rFonts w:hint="default"/>
          <w:b w:val="0"/>
          <w:bCs w:val="0"/>
          <w:sz w:val="21"/>
          <w:szCs w:val="21"/>
          <w:lang w:val="en-US" w:eastAsia="zh-CN"/>
        </w:rPr>
        <w:t>人文素养和价值观：培育人文素养，树立正确的职业精神，践行社会主义核心价值观。</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指标点 1-1：培育人文素养，理解国情，培养对国家、民族、社会和他人的责任感和奉献精神；</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指标点 1-2：辨别正确的伦理道德，培育敬业、守业的职业精神；</w:t>
      </w:r>
    </w:p>
    <w:p>
      <w:pPr>
        <w:numPr>
          <w:numId w:val="0"/>
        </w:numPr>
        <w:ind w:leftChars="0"/>
        <w:rPr>
          <w:rFonts w:hint="default"/>
          <w:b w:val="0"/>
          <w:bCs w:val="0"/>
          <w:sz w:val="21"/>
          <w:szCs w:val="21"/>
          <w:lang w:val="en-US" w:eastAsia="zh-CN"/>
        </w:rPr>
      </w:pPr>
      <w:r>
        <w:rPr>
          <w:rFonts w:hint="eastAsia"/>
          <w:b w:val="0"/>
          <w:bCs w:val="0"/>
          <w:sz w:val="21"/>
          <w:szCs w:val="21"/>
          <w:lang w:val="en-US" w:eastAsia="zh-CN"/>
        </w:rPr>
        <w:t>（2）</w:t>
      </w:r>
      <w:r>
        <w:rPr>
          <w:rFonts w:hint="default"/>
          <w:b w:val="0"/>
          <w:bCs w:val="0"/>
          <w:sz w:val="21"/>
          <w:szCs w:val="21"/>
          <w:lang w:val="en-US" w:eastAsia="zh-CN"/>
        </w:rPr>
        <w:t>领导力和沟通能力：具备一定的领导能力，能够使用书面和口头表达的方式与业界同行和社会公众就财会相关领域的问题进行有效的交流与沟通。</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2</w:t>
      </w:r>
      <w:r>
        <w:rPr>
          <w:rFonts w:hint="default"/>
          <w:b w:val="0"/>
          <w:bCs w:val="0"/>
          <w:sz w:val="21"/>
          <w:szCs w:val="21"/>
          <w:lang w:val="en-US" w:eastAsia="zh-CN"/>
        </w:rPr>
        <w:t>-1：展示出一定的领导、组织、协作能力，能综合采用多种思维方式分析和解决问题；</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2</w:t>
      </w:r>
      <w:r>
        <w:rPr>
          <w:rFonts w:hint="default"/>
          <w:b w:val="0"/>
          <w:bCs w:val="0"/>
          <w:sz w:val="21"/>
          <w:szCs w:val="21"/>
          <w:lang w:val="en-US" w:eastAsia="zh-CN"/>
        </w:rPr>
        <w:t>-2：展示出具有较强的口语表达能力，能够有效的与行业同行和社会公众进行沟通；</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2</w:t>
      </w:r>
      <w:r>
        <w:rPr>
          <w:rFonts w:hint="default"/>
          <w:b w:val="0"/>
          <w:bCs w:val="0"/>
          <w:sz w:val="21"/>
          <w:szCs w:val="21"/>
          <w:lang w:val="en-US" w:eastAsia="zh-CN"/>
        </w:rPr>
        <w:t>-3：展示出具有较强的书面表达能力，能够完成计划书、报告及论文的撰写；</w:t>
      </w:r>
    </w:p>
    <w:p>
      <w:pPr>
        <w:numPr>
          <w:numId w:val="0"/>
        </w:numPr>
        <w:ind w:leftChars="0"/>
        <w:rPr>
          <w:rFonts w:hint="default"/>
          <w:b w:val="0"/>
          <w:bCs w:val="0"/>
          <w:sz w:val="21"/>
          <w:szCs w:val="21"/>
          <w:lang w:val="en-US" w:eastAsia="zh-CN"/>
        </w:rPr>
      </w:pPr>
      <w:r>
        <w:rPr>
          <w:rFonts w:hint="eastAsia"/>
          <w:b w:val="0"/>
          <w:bCs w:val="0"/>
          <w:sz w:val="21"/>
          <w:szCs w:val="21"/>
          <w:lang w:val="en-US" w:eastAsia="zh-CN"/>
        </w:rPr>
        <w:t>（3）</w:t>
      </w:r>
      <w:r>
        <w:rPr>
          <w:rFonts w:hint="default"/>
          <w:b w:val="0"/>
          <w:bCs w:val="0"/>
          <w:sz w:val="21"/>
          <w:szCs w:val="21"/>
          <w:lang w:val="en-US" w:eastAsia="zh-CN"/>
        </w:rPr>
        <w:t>国际视野和国际竞争力：具备国际沟通能力，理解国际</w:t>
      </w:r>
      <w:r>
        <w:rPr>
          <w:rFonts w:hint="eastAsia"/>
          <w:b w:val="0"/>
          <w:bCs w:val="0"/>
          <w:sz w:val="21"/>
          <w:szCs w:val="21"/>
          <w:lang w:val="en-US" w:eastAsia="zh-CN"/>
        </w:rPr>
        <w:t>行业背景及前沿发展趋势</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3</w:t>
      </w:r>
      <w:r>
        <w:rPr>
          <w:rFonts w:hint="default"/>
          <w:b w:val="0"/>
          <w:bCs w:val="0"/>
          <w:sz w:val="21"/>
          <w:szCs w:val="21"/>
          <w:lang w:val="en-US" w:eastAsia="zh-CN"/>
        </w:rPr>
        <w:t>-1：掌握一门外语，对听、说、读、写进行熟练掌握；</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3</w:t>
      </w:r>
      <w:r>
        <w:rPr>
          <w:rFonts w:hint="default"/>
          <w:b w:val="0"/>
          <w:bCs w:val="0"/>
          <w:sz w:val="21"/>
          <w:szCs w:val="21"/>
          <w:lang w:val="en-US" w:eastAsia="zh-CN"/>
        </w:rPr>
        <w:t>-2：理解国际专业知识，培养国际化的职业素养；</w:t>
      </w:r>
    </w:p>
    <w:p>
      <w:pPr>
        <w:numPr>
          <w:numId w:val="0"/>
        </w:numPr>
        <w:ind w:leftChars="0"/>
        <w:rPr>
          <w:rFonts w:hint="default"/>
          <w:b w:val="0"/>
          <w:bCs w:val="0"/>
          <w:sz w:val="21"/>
          <w:szCs w:val="21"/>
          <w:lang w:val="en-US" w:eastAsia="zh-CN"/>
        </w:rPr>
      </w:pPr>
      <w:r>
        <w:rPr>
          <w:rFonts w:hint="eastAsia"/>
          <w:b w:val="0"/>
          <w:bCs w:val="0"/>
          <w:sz w:val="21"/>
          <w:szCs w:val="21"/>
          <w:lang w:val="en-US" w:eastAsia="zh-CN"/>
        </w:rPr>
        <w:t>（4）</w:t>
      </w:r>
      <w:r>
        <w:rPr>
          <w:rFonts w:hint="default"/>
          <w:b w:val="0"/>
          <w:bCs w:val="0"/>
          <w:sz w:val="21"/>
          <w:szCs w:val="21"/>
          <w:lang w:val="en-US" w:eastAsia="zh-CN"/>
        </w:rPr>
        <w:t>批判性思维和创新能力：运用专业知识，分析复杂问题，并通过批判性思维和创新能力，提供对策和解决方案。</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4</w:t>
      </w:r>
      <w:r>
        <w:rPr>
          <w:rFonts w:hint="default"/>
          <w:b w:val="0"/>
          <w:bCs w:val="0"/>
          <w:sz w:val="21"/>
          <w:szCs w:val="21"/>
          <w:lang w:val="en-US" w:eastAsia="zh-CN"/>
        </w:rPr>
        <w:t>-1：具备运用本专业知识，分析和识别复杂问题的批判性思维；</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4</w:t>
      </w:r>
      <w:r>
        <w:rPr>
          <w:rFonts w:hint="default"/>
          <w:b w:val="0"/>
          <w:bCs w:val="0"/>
          <w:sz w:val="21"/>
          <w:szCs w:val="21"/>
          <w:lang w:val="en-US" w:eastAsia="zh-CN"/>
        </w:rPr>
        <w:t>-2：具备在相关领域的项目设计、研究实践、成果报告等实践创新能力和自学能力。</w:t>
      </w:r>
    </w:p>
    <w:p>
      <w:pPr>
        <w:numPr>
          <w:numId w:val="0"/>
        </w:numPr>
        <w:ind w:leftChars="0"/>
        <w:rPr>
          <w:rFonts w:hint="default"/>
          <w:b w:val="0"/>
          <w:bCs w:val="0"/>
          <w:sz w:val="21"/>
          <w:szCs w:val="21"/>
          <w:lang w:val="en-US" w:eastAsia="zh-CN"/>
        </w:rPr>
      </w:pPr>
      <w:r>
        <w:rPr>
          <w:rFonts w:hint="eastAsia"/>
          <w:b w:val="0"/>
          <w:bCs w:val="0"/>
          <w:sz w:val="21"/>
          <w:szCs w:val="21"/>
          <w:lang w:val="en-US" w:eastAsia="zh-CN"/>
        </w:rPr>
        <w:t>（5）</w:t>
      </w:r>
      <w:r>
        <w:rPr>
          <w:rFonts w:hint="default"/>
          <w:b w:val="0"/>
          <w:bCs w:val="0"/>
          <w:sz w:val="21"/>
          <w:szCs w:val="21"/>
          <w:lang w:val="en-US" w:eastAsia="zh-CN"/>
        </w:rPr>
        <w:t>现代知识及工具应用能力：能够掌握会计、财务管理、审计领域现代化业务工具、大数据分析应用等工具的使用，并能够熟练应用于工作岗位。</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5</w:t>
      </w:r>
      <w:r>
        <w:rPr>
          <w:rFonts w:hint="default"/>
          <w:b w:val="0"/>
          <w:bCs w:val="0"/>
          <w:sz w:val="21"/>
          <w:szCs w:val="21"/>
          <w:lang w:val="en-US" w:eastAsia="zh-CN"/>
        </w:rPr>
        <w:t>-1：能够利用会计数据、财务分析方法和审计方法和思想、管理会计工具及现代数理与应用统计等定量方法，分析组织绩效及经营管理问题；</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5</w:t>
      </w:r>
      <w:r>
        <w:rPr>
          <w:rFonts w:hint="default"/>
          <w:b w:val="0"/>
          <w:bCs w:val="0"/>
          <w:sz w:val="21"/>
          <w:szCs w:val="21"/>
          <w:lang w:val="en-US" w:eastAsia="zh-CN"/>
        </w:rPr>
        <w:t>-2：能够利用大数据和运用大数据分析手段等现代综合性商业分析工具分析组织经营决策问题。</w:t>
      </w:r>
    </w:p>
    <w:p>
      <w:pPr>
        <w:numPr>
          <w:numId w:val="0"/>
        </w:numPr>
        <w:ind w:leftChars="0"/>
        <w:rPr>
          <w:rFonts w:hint="default"/>
          <w:b w:val="0"/>
          <w:bCs w:val="0"/>
          <w:sz w:val="21"/>
          <w:szCs w:val="21"/>
          <w:lang w:val="en-US" w:eastAsia="zh-CN"/>
        </w:rPr>
      </w:pPr>
      <w:r>
        <w:rPr>
          <w:rFonts w:hint="eastAsia"/>
          <w:b w:val="0"/>
          <w:bCs w:val="0"/>
          <w:sz w:val="21"/>
          <w:szCs w:val="21"/>
          <w:lang w:val="en-US" w:eastAsia="zh-CN"/>
        </w:rPr>
        <w:t>（6）</w:t>
      </w:r>
      <w:r>
        <w:rPr>
          <w:rFonts w:hint="default"/>
          <w:b w:val="0"/>
          <w:bCs w:val="0"/>
          <w:sz w:val="21"/>
          <w:szCs w:val="21"/>
          <w:lang w:val="en-US" w:eastAsia="zh-CN"/>
        </w:rPr>
        <w:t>终身学习：具有自主学习和终生学习的意识，有不断学习和适应发展的能力。</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6</w:t>
      </w:r>
      <w:r>
        <w:rPr>
          <w:rFonts w:hint="default"/>
          <w:b w:val="0"/>
          <w:bCs w:val="0"/>
          <w:sz w:val="21"/>
          <w:szCs w:val="21"/>
          <w:lang w:val="en-US" w:eastAsia="zh-CN"/>
        </w:rPr>
        <w:t>-1：积极正确的价值观，具有自主学习和终身学习的意识；</w:t>
      </w:r>
    </w:p>
    <w:p>
      <w:pPr>
        <w:numPr>
          <w:ilvl w:val="0"/>
          <w:numId w:val="1"/>
        </w:numPr>
        <w:ind w:left="420" w:leftChars="0" w:hanging="420" w:firstLineChars="0"/>
        <w:rPr>
          <w:rFonts w:hint="default"/>
          <w:b w:val="0"/>
          <w:bCs w:val="0"/>
          <w:sz w:val="21"/>
          <w:szCs w:val="21"/>
          <w:lang w:val="en-US" w:eastAsia="zh-CN"/>
        </w:rPr>
      </w:pPr>
      <w:r>
        <w:rPr>
          <w:rFonts w:hint="default"/>
          <w:b w:val="0"/>
          <w:bCs w:val="0"/>
          <w:sz w:val="21"/>
          <w:szCs w:val="21"/>
          <w:lang w:val="en-US" w:eastAsia="zh-CN"/>
        </w:rPr>
        <w:t xml:space="preserve">指标点 </w:t>
      </w:r>
      <w:r>
        <w:rPr>
          <w:rFonts w:hint="eastAsia"/>
          <w:b w:val="0"/>
          <w:bCs w:val="0"/>
          <w:sz w:val="21"/>
          <w:szCs w:val="21"/>
          <w:lang w:val="en-US" w:eastAsia="zh-CN"/>
        </w:rPr>
        <w:t>6</w:t>
      </w:r>
      <w:r>
        <w:rPr>
          <w:rFonts w:hint="default"/>
          <w:b w:val="0"/>
          <w:bCs w:val="0"/>
          <w:sz w:val="21"/>
          <w:szCs w:val="21"/>
          <w:lang w:val="en-US" w:eastAsia="zh-CN"/>
        </w:rPr>
        <w:t>-2：掌握良好的学习方法，具有知识探索及研究能力。</w:t>
      </w:r>
    </w:p>
    <w:p>
      <w:pPr>
        <w:numPr>
          <w:ilvl w:val="0"/>
          <w:numId w:val="2"/>
        </w:numPr>
        <w:rPr>
          <w:rFonts w:hint="eastAsia"/>
          <w:b/>
          <w:bCs/>
          <w:sz w:val="28"/>
          <w:szCs w:val="28"/>
          <w:lang w:val="en-US" w:eastAsia="zh-CN"/>
        </w:rPr>
      </w:pPr>
      <w:r>
        <w:rPr>
          <w:rFonts w:hint="eastAsia"/>
          <w:b/>
          <w:bCs/>
          <w:sz w:val="28"/>
          <w:szCs w:val="28"/>
          <w:lang w:val="en-US" w:eastAsia="zh-CN"/>
        </w:rPr>
        <w:t>核心</w:t>
      </w:r>
      <w:r>
        <w:rPr>
          <w:rFonts w:hint="default"/>
          <w:b/>
          <w:bCs/>
          <w:sz w:val="28"/>
          <w:szCs w:val="28"/>
          <w:lang w:val="en-US" w:eastAsia="zh-CN"/>
        </w:rPr>
        <w:t>课程思政</w:t>
      </w:r>
      <w:r>
        <w:rPr>
          <w:rFonts w:hint="eastAsia"/>
          <w:b/>
          <w:bCs/>
          <w:sz w:val="28"/>
          <w:szCs w:val="28"/>
          <w:lang w:val="en-US" w:eastAsia="zh-CN"/>
        </w:rPr>
        <w:t>指标点汇总</w:t>
      </w:r>
    </w:p>
    <w:p>
      <w:pPr>
        <w:numPr>
          <w:numId w:val="0"/>
        </w:numPr>
        <w:rPr>
          <w:rFonts w:hint="default"/>
          <w:b/>
          <w:bCs/>
          <w:sz w:val="28"/>
          <w:szCs w:val="28"/>
          <w:lang w:val="en-US" w:eastAsia="zh-CN"/>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1140"/>
        <w:gridCol w:w="3963"/>
        <w:gridCol w:w="22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Tahoma" w:hAnsi="Tahoma" w:eastAsia="宋体" w:cs="Tahoma"/>
                <w:color w:val="333333"/>
                <w:sz w:val="21"/>
                <w:szCs w:val="21"/>
              </w:rPr>
            </w:pPr>
            <w:r>
              <w:rPr>
                <w:rStyle w:val="8"/>
                <w:rFonts w:hint="eastAsia" w:cs="Tahoma"/>
                <w:color w:val="333333"/>
                <w:sz w:val="21"/>
                <w:szCs w:val="21"/>
              </w:rPr>
              <w:t>课程名称</w:t>
            </w:r>
          </w:p>
        </w:tc>
        <w:tc>
          <w:tcPr>
            <w:tcW w:w="1140" w:type="dxa"/>
            <w:vAlign w:val="center"/>
          </w:tcPr>
          <w:p>
            <w:pPr>
              <w:jc w:val="center"/>
              <w:rPr>
                <w:rFonts w:ascii="Tahoma" w:hAnsi="Tahoma" w:eastAsia="宋体" w:cs="Tahoma"/>
                <w:color w:val="333333"/>
                <w:sz w:val="21"/>
                <w:szCs w:val="21"/>
              </w:rPr>
            </w:pPr>
            <w:r>
              <w:rPr>
                <w:rStyle w:val="8"/>
                <w:rFonts w:hint="eastAsia" w:cs="Tahoma"/>
                <w:color w:val="333333"/>
                <w:sz w:val="21"/>
                <w:szCs w:val="21"/>
              </w:rPr>
              <w:t>授课内容</w:t>
            </w:r>
          </w:p>
        </w:tc>
        <w:tc>
          <w:tcPr>
            <w:tcW w:w="3963" w:type="dxa"/>
            <w:vAlign w:val="center"/>
          </w:tcPr>
          <w:p>
            <w:pPr>
              <w:jc w:val="center"/>
              <w:rPr>
                <w:rFonts w:ascii="Tahoma" w:hAnsi="Tahoma" w:eastAsia="宋体" w:cs="Tahoma"/>
                <w:color w:val="333333"/>
                <w:sz w:val="21"/>
                <w:szCs w:val="21"/>
              </w:rPr>
            </w:pPr>
            <w:r>
              <w:rPr>
                <w:rStyle w:val="8"/>
                <w:rFonts w:hint="eastAsia" w:cs="Tahoma"/>
                <w:color w:val="333333"/>
                <w:sz w:val="21"/>
                <w:szCs w:val="21"/>
              </w:rPr>
              <w:t>思政映射点与相关依据</w:t>
            </w:r>
          </w:p>
        </w:tc>
        <w:tc>
          <w:tcPr>
            <w:tcW w:w="2268" w:type="dxa"/>
            <w:vAlign w:val="center"/>
          </w:tcPr>
          <w:p>
            <w:pPr>
              <w:jc w:val="both"/>
              <w:rPr>
                <w:rFonts w:ascii="Tahoma" w:hAnsi="Tahoma" w:eastAsia="宋体" w:cs="Tahoma"/>
                <w:color w:val="333333"/>
                <w:sz w:val="21"/>
                <w:szCs w:val="21"/>
              </w:rPr>
            </w:pPr>
            <w:r>
              <w:rPr>
                <w:rStyle w:val="8"/>
                <w:rFonts w:hint="eastAsia" w:cs="Tahoma"/>
                <w:color w:val="333333"/>
                <w:sz w:val="21"/>
                <w:szCs w:val="21"/>
              </w:rPr>
              <w:t>教学形式与教学效果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基础会计学</w:t>
            </w:r>
          </w:p>
        </w:tc>
        <w:tc>
          <w:tcPr>
            <w:tcW w:w="1140" w:type="dxa"/>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会计的产生与发展</w:t>
            </w:r>
          </w:p>
        </w:tc>
        <w:tc>
          <w:tcPr>
            <w:tcW w:w="3963" w:type="dxa"/>
            <w:vAlign w:val="top"/>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w:t>
            </w:r>
            <w:r>
              <w:rPr>
                <w:rFonts w:ascii="楷体" w:hAnsi="楷体" w:eastAsia="楷体" w:cs="Tahoma"/>
                <w:color w:val="333333"/>
                <w:kern w:val="0"/>
                <w:sz w:val="21"/>
                <w:szCs w:val="21"/>
              </w:rPr>
              <w:t>1.</w:t>
            </w:r>
            <w:r>
              <w:rPr>
                <w:rFonts w:hint="eastAsia" w:ascii="楷体" w:hAnsi="楷体" w:eastAsia="楷体" w:cs="Tahoma"/>
                <w:color w:val="333333"/>
                <w:kern w:val="0"/>
                <w:sz w:val="21"/>
                <w:szCs w:val="21"/>
              </w:rPr>
              <w:t>通过对会计的产生、会计学科的发展以及会计名家的经历等相关内容的介绍，培养学生敢于天下先的创新精神。</w:t>
            </w:r>
            <w:r>
              <w:rPr>
                <w:rFonts w:ascii="楷体" w:hAnsi="楷体" w:eastAsia="楷体" w:cs="Tahoma"/>
                <w:color w:val="333333"/>
                <w:kern w:val="0"/>
                <w:sz w:val="21"/>
                <w:szCs w:val="21"/>
              </w:rPr>
              <w:t>2.</w:t>
            </w:r>
            <w:r>
              <w:rPr>
                <w:rFonts w:hint="eastAsia" w:ascii="楷体" w:hAnsi="楷体" w:eastAsia="楷体" w:cs="Tahoma"/>
                <w:color w:val="333333"/>
                <w:kern w:val="0"/>
                <w:sz w:val="21"/>
                <w:szCs w:val="21"/>
              </w:rPr>
              <w:t>通过中外会计演变的对比，会计学与管理学等多学科交的探讨，开拓学生的国际视野以及兼容并包的开阔胸怀。</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相关依据：《中华人民共和国会计法》、《企业会计准则--基本准则》、《企业会计准则</w:t>
            </w:r>
            <w:r>
              <w:rPr>
                <w:rFonts w:ascii="楷体" w:hAnsi="楷体" w:eastAsia="楷体" w:cs="Tahoma"/>
                <w:color w:val="333333"/>
                <w:kern w:val="0"/>
                <w:sz w:val="21"/>
                <w:szCs w:val="21"/>
              </w:rPr>
              <w:t>—</w:t>
            </w:r>
            <w:r>
              <w:rPr>
                <w:rFonts w:hint="eastAsia" w:ascii="楷体" w:hAnsi="楷体" w:eastAsia="楷体" w:cs="Tahoma"/>
                <w:color w:val="333333"/>
                <w:kern w:val="0"/>
                <w:sz w:val="21"/>
                <w:szCs w:val="21"/>
              </w:rPr>
              <w:t>具体准则》、《企业会计制度》</w:t>
            </w:r>
          </w:p>
        </w:tc>
        <w:tc>
          <w:tcPr>
            <w:tcW w:w="2268" w:type="dxa"/>
            <w:vAlign w:val="top"/>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理论讲授、案例研讨。</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掌握会计学的基本理论和基本概念，为以后各章学习打下坚实的基础。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jc w:val="center"/>
              <w:rPr>
                <w:rStyle w:val="8"/>
                <w:rFonts w:hint="eastAsia" w:cs="Tahoma"/>
                <w:color w:val="333333"/>
                <w:sz w:val="21"/>
                <w:szCs w:val="21"/>
              </w:rPr>
            </w:pPr>
          </w:p>
        </w:tc>
        <w:tc>
          <w:tcPr>
            <w:tcW w:w="1140" w:type="dxa"/>
            <w:vAlign w:val="top"/>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会计信息</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质量要求</w:t>
            </w:r>
          </w:p>
        </w:tc>
        <w:tc>
          <w:tcPr>
            <w:tcW w:w="3963" w:type="dxa"/>
            <w:vAlign w:val="top"/>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通过违反会计信息质量要求、提供虚假财务报告可能造成的经济后果以及需要承担的法律责任，启发学生认识到财务管理在公司治理、资本市场上的重要作用，激发学生的社会责任感和职业担当，领悟财务人应该秉持诚信，恪守职业道德。</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相关依据：《中华人民共和国会计法》、《企业会计准则--基本准则》、《企业会计准则—具体准则》</w:t>
            </w:r>
          </w:p>
        </w:tc>
        <w:tc>
          <w:tcPr>
            <w:tcW w:w="2268" w:type="dxa"/>
            <w:vAlign w:val="top"/>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理论讲授、案例研讨。</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学生知悉违反会计信息质量要求、提供虚假财务报告可能造成的经济后果以及需要承担的法律责任。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jc w:val="center"/>
              <w:rPr>
                <w:rStyle w:val="8"/>
                <w:rFonts w:hint="eastAsia" w:cs="Tahoma"/>
                <w:color w:val="333333"/>
                <w:sz w:val="21"/>
                <w:szCs w:val="21"/>
              </w:rPr>
            </w:pPr>
          </w:p>
        </w:tc>
        <w:tc>
          <w:tcPr>
            <w:tcW w:w="1140" w:type="dxa"/>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借贷记账法</w:t>
            </w:r>
          </w:p>
        </w:tc>
        <w:tc>
          <w:tcPr>
            <w:tcW w:w="3963" w:type="dxa"/>
            <w:vAlign w:val="top"/>
          </w:tcPr>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借贷记账法下，通过“有借必有贷，借贷必相等”的记账规则，引导学生在经济业务账务处理时要善于全面观察；同时，要及时检查借贷两方的金额是否相等，培养学生观察分析能力和严谨的专业精神。</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相关依据：《中华人民共和国会计法》、《企业会计准则--基本准则》、《企业会计准则—具体准则》、《企业会计制度》</w:t>
            </w:r>
          </w:p>
        </w:tc>
        <w:tc>
          <w:tcPr>
            <w:tcW w:w="2268" w:type="dxa"/>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讲授法、探究式教学、情景教学。学生基本能理解六大要素记账规则和熟练编制会计分录。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jc w:val="center"/>
              <w:rPr>
                <w:rStyle w:val="8"/>
                <w:rFonts w:hint="eastAsia" w:cs="Tahoma"/>
                <w:color w:val="333333"/>
                <w:sz w:val="21"/>
                <w:szCs w:val="21"/>
              </w:rPr>
            </w:pPr>
          </w:p>
        </w:tc>
        <w:tc>
          <w:tcPr>
            <w:tcW w:w="1140" w:type="dxa"/>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会计凭证与账簿</w:t>
            </w:r>
          </w:p>
        </w:tc>
        <w:tc>
          <w:tcPr>
            <w:tcW w:w="3963" w:type="dxa"/>
            <w:vAlign w:val="top"/>
          </w:tcPr>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学生通过了解会计凭证在填制中不允许有任何歪曲和弄虚作假行为等规定，领会在未来实际工作中不能做出伪造、篡改和擅自销毁会计凭证等违规行为；既实现由理论知识向实际运用过程的转换，又起到警示作用，强化学生诚信品质。</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相关依据：《中华人民共和国会计法》、《企业会计准则--基本准则》、《企业会计准则—具体准则》、《企业会计制度》</w:t>
            </w:r>
          </w:p>
        </w:tc>
        <w:tc>
          <w:tcPr>
            <w:tcW w:w="2268" w:type="dxa"/>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案例教学。学生领会会计诚信的重要性，起到警示的目的。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jc w:val="center"/>
              <w:rPr>
                <w:rStyle w:val="8"/>
                <w:rFonts w:hint="eastAsia" w:cs="Tahoma"/>
                <w:color w:val="333333"/>
                <w:sz w:val="21"/>
                <w:szCs w:val="21"/>
              </w:rPr>
            </w:pPr>
          </w:p>
        </w:tc>
        <w:tc>
          <w:tcPr>
            <w:tcW w:w="1140" w:type="dxa"/>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账务处理程序</w:t>
            </w:r>
          </w:p>
        </w:tc>
        <w:tc>
          <w:tcPr>
            <w:tcW w:w="3963" w:type="dxa"/>
            <w:vAlign w:val="top"/>
          </w:tcPr>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通过综合业务账务处理时的随机分组和出纳、成本会计、审核会计、会计主管等角色扮演，让学生既独立又合作地完成收付款审核、票据审核、过账及结账、会计凭证的整理与装订等整个会计事务流程，培养学生敬业、严谨、友善、互助的职业精神。</w:t>
            </w:r>
          </w:p>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相关依据：《中华人民共和国会计法》、《企业会计准则--基本准则》、《企业会计准则—具体准则》、《企业会计制度》</w:t>
            </w:r>
          </w:p>
        </w:tc>
        <w:tc>
          <w:tcPr>
            <w:tcW w:w="2268" w:type="dxa"/>
            <w:vAlign w:val="top"/>
          </w:tcPr>
          <w:p>
            <w:pPr>
              <w:widowControl/>
              <w:rPr>
                <w:rFonts w:hint="eastAsia" w:ascii="楷体" w:hAnsi="楷体" w:eastAsia="楷体" w:cs="Tahoma"/>
                <w:color w:val="333333"/>
                <w:kern w:val="0"/>
                <w:sz w:val="21"/>
                <w:szCs w:val="21"/>
                <w:lang w:val="en-US" w:eastAsia="zh-CN" w:bidi="ar-SA"/>
              </w:rPr>
            </w:pPr>
            <w:r>
              <w:rPr>
                <w:rFonts w:hint="eastAsia" w:ascii="楷体" w:hAnsi="楷体" w:eastAsia="楷体" w:cs="Tahoma"/>
                <w:color w:val="333333"/>
                <w:kern w:val="0"/>
                <w:sz w:val="21"/>
                <w:szCs w:val="21"/>
              </w:rPr>
              <w:t>小组合作、情景教学。通过角色互换，培养学生协作能力，领会每一环节的工作效率和质量是相互影响的。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tcBorders/>
            <w:vAlign w:val="center"/>
          </w:tcPr>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初级财务管理</w:t>
            </w:r>
          </w:p>
        </w:tc>
        <w:tc>
          <w:tcPr>
            <w:tcW w:w="1140" w:type="dxa"/>
            <w:vAlign w:val="top"/>
          </w:tcPr>
          <w:p>
            <w:pPr>
              <w:widowControl/>
              <w:rPr>
                <w:rFonts w:hint="eastAsia" w:ascii="楷体" w:hAnsi="楷体" w:eastAsia="楷体" w:cs="Tahoma"/>
                <w:color w:val="333333"/>
                <w:kern w:val="0"/>
                <w:sz w:val="21"/>
                <w:szCs w:val="21"/>
              </w:rPr>
            </w:pPr>
            <w:r>
              <w:rPr>
                <w:rFonts w:hint="eastAsia" w:ascii="楷体" w:hAnsi="楷体" w:eastAsia="楷体" w:cs="Tahoma"/>
                <w:color w:val="333333"/>
                <w:kern w:val="0"/>
                <w:sz w:val="21"/>
                <w:szCs w:val="21"/>
              </w:rPr>
              <w:t>财务管理导论</w:t>
            </w:r>
          </w:p>
        </w:tc>
        <w:tc>
          <w:tcPr>
            <w:tcW w:w="3963" w:type="dxa"/>
            <w:vAlign w:val="top"/>
          </w:tcPr>
          <w:p>
            <w:pPr>
              <w:widowControl/>
              <w:rPr>
                <w:rFonts w:hint="eastAsia" w:ascii="楷体" w:hAnsi="楷体" w:eastAsia="楷体" w:cs="Tahoma"/>
                <w:color w:val="333333"/>
                <w:kern w:val="0"/>
                <w:sz w:val="21"/>
                <w:szCs w:val="21"/>
              </w:rPr>
            </w:pPr>
            <w:r>
              <w:rPr>
                <w:rFonts w:hint="eastAsia" w:ascii="楷体" w:hAnsi="楷体" w:eastAsia="楷体" w:cs="Tahoma"/>
                <w:color w:val="333333"/>
                <w:kern w:val="0"/>
                <w:sz w:val="21"/>
                <w:szCs w:val="21"/>
              </w:rPr>
              <w:t>思政映射点：通过</w:t>
            </w:r>
            <w:r>
              <w:rPr>
                <w:rFonts w:hint="eastAsia" w:ascii="楷体" w:hAnsi="楷体" w:eastAsia="楷体" w:cs="Tahoma"/>
                <w:color w:val="333333"/>
                <w:kern w:val="0"/>
                <w:sz w:val="21"/>
                <w:szCs w:val="21"/>
                <w:lang w:val="en-US" w:eastAsia="zh-CN"/>
              </w:rPr>
              <w:t>讲授</w:t>
            </w:r>
            <w:r>
              <w:rPr>
                <w:rFonts w:hint="eastAsia" w:ascii="楷体" w:hAnsi="楷体" w:eastAsia="楷体" w:cs="Tahoma"/>
                <w:color w:val="333333"/>
                <w:kern w:val="0"/>
                <w:sz w:val="21"/>
                <w:szCs w:val="21"/>
              </w:rPr>
              <w:t>我国著名历史人物</w:t>
            </w:r>
            <w:r>
              <w:rPr>
                <w:rFonts w:hint="eastAsia" w:ascii="楷体" w:hAnsi="楷体" w:eastAsia="楷体" w:cs="Tahoma"/>
                <w:color w:val="333333"/>
                <w:kern w:val="0"/>
                <w:sz w:val="21"/>
                <w:szCs w:val="21"/>
                <w:lang w:val="en-US" w:eastAsia="zh-CN"/>
              </w:rPr>
              <w:t>的财务管理事迹</w:t>
            </w:r>
            <w:r>
              <w:rPr>
                <w:rFonts w:hint="eastAsia" w:ascii="楷体" w:hAnsi="楷体" w:eastAsia="楷体" w:cs="Tahoma"/>
                <w:color w:val="333333"/>
                <w:kern w:val="0"/>
                <w:sz w:val="21"/>
                <w:szCs w:val="21"/>
                <w:lang w:eastAsia="zh-CN"/>
              </w:rPr>
              <w:t>，</w:t>
            </w:r>
            <w:r>
              <w:rPr>
                <w:rFonts w:hint="eastAsia" w:ascii="楷体" w:hAnsi="楷体" w:eastAsia="楷体" w:cs="Tahoma"/>
                <w:color w:val="333333"/>
                <w:kern w:val="0"/>
                <w:sz w:val="21"/>
                <w:szCs w:val="21"/>
                <w:lang w:val="en-US" w:eastAsia="zh-CN"/>
              </w:rPr>
              <w:t>如</w:t>
            </w:r>
            <w:r>
              <w:rPr>
                <w:rFonts w:hint="eastAsia" w:ascii="楷体" w:hAnsi="楷体" w:eastAsia="楷体" w:cs="Tahoma"/>
                <w:color w:val="333333"/>
                <w:kern w:val="0"/>
                <w:sz w:val="21"/>
                <w:szCs w:val="21"/>
              </w:rPr>
              <w:t>桑弘羊、管仲等，激发学生的民族自豪感</w:t>
            </w:r>
            <w:r>
              <w:rPr>
                <w:rFonts w:hint="eastAsia" w:ascii="楷体" w:hAnsi="楷体" w:eastAsia="楷体" w:cs="Tahoma"/>
                <w:color w:val="333333"/>
                <w:kern w:val="0"/>
                <w:sz w:val="21"/>
                <w:szCs w:val="21"/>
                <w:lang w:eastAsia="zh-CN"/>
              </w:rPr>
              <w:t>，</w:t>
            </w:r>
            <w:r>
              <w:rPr>
                <w:rFonts w:hint="eastAsia" w:ascii="楷体" w:hAnsi="楷体" w:eastAsia="楷体" w:cs="Tahoma"/>
                <w:color w:val="333333"/>
                <w:kern w:val="0"/>
                <w:sz w:val="21"/>
                <w:szCs w:val="21"/>
                <w:lang w:val="en-US" w:eastAsia="zh-CN"/>
              </w:rPr>
              <w:t>树立文化自信</w:t>
            </w:r>
            <w:r>
              <w:rPr>
                <w:rFonts w:hint="eastAsia" w:ascii="楷体" w:hAnsi="楷体" w:eastAsia="楷体" w:cs="Tahoma"/>
                <w:color w:val="333333"/>
                <w:kern w:val="0"/>
                <w:sz w:val="21"/>
                <w:szCs w:val="21"/>
              </w:rPr>
              <w:t>；</w:t>
            </w:r>
            <w:r>
              <w:rPr>
                <w:rFonts w:hint="eastAsia" w:ascii="楷体" w:hAnsi="楷体" w:eastAsia="楷体" w:cs="Tahoma"/>
                <w:color w:val="333333"/>
                <w:kern w:val="0"/>
                <w:sz w:val="21"/>
                <w:szCs w:val="21"/>
                <w:lang w:val="en-US" w:eastAsia="zh-CN"/>
              </w:rPr>
              <w:t>通过</w:t>
            </w:r>
            <w:r>
              <w:rPr>
                <w:rFonts w:hint="eastAsia" w:ascii="楷体" w:hAnsi="楷体" w:eastAsia="楷体" w:cs="Tahoma"/>
                <w:color w:val="333333"/>
                <w:kern w:val="0"/>
                <w:sz w:val="21"/>
                <w:szCs w:val="21"/>
              </w:rPr>
              <w:t>讲述</w:t>
            </w:r>
            <w:r>
              <w:rPr>
                <w:rFonts w:hint="eastAsia" w:ascii="楷体" w:hAnsi="楷体" w:eastAsia="楷体" w:cs="Tahoma"/>
                <w:color w:val="333333"/>
                <w:kern w:val="0"/>
                <w:sz w:val="21"/>
                <w:szCs w:val="21"/>
                <w:lang w:val="en-US" w:eastAsia="zh-CN"/>
              </w:rPr>
              <w:t>近现代中国</w:t>
            </w:r>
            <w:r>
              <w:rPr>
                <w:rFonts w:hint="eastAsia" w:ascii="楷体" w:hAnsi="楷体" w:eastAsia="楷体" w:cs="Tahoma"/>
                <w:color w:val="333333"/>
                <w:kern w:val="0"/>
                <w:sz w:val="21"/>
                <w:szCs w:val="21"/>
              </w:rPr>
              <w:t>会计</w:t>
            </w:r>
            <w:r>
              <w:rPr>
                <w:rFonts w:hint="eastAsia" w:ascii="楷体" w:hAnsi="楷体" w:eastAsia="楷体" w:cs="Tahoma"/>
                <w:color w:val="333333"/>
                <w:kern w:val="0"/>
                <w:sz w:val="21"/>
                <w:szCs w:val="21"/>
                <w:lang w:val="en-US" w:eastAsia="zh-CN"/>
              </w:rPr>
              <w:t>届泰斗人物，</w:t>
            </w:r>
            <w:r>
              <w:rPr>
                <w:rFonts w:hint="eastAsia" w:ascii="楷体" w:hAnsi="楷体" w:eastAsia="楷体" w:cs="Tahoma"/>
                <w:color w:val="333333"/>
                <w:kern w:val="0"/>
                <w:sz w:val="21"/>
                <w:szCs w:val="21"/>
              </w:rPr>
              <w:t>如</w:t>
            </w:r>
            <w:r>
              <w:rPr>
                <w:rFonts w:hint="eastAsia" w:ascii="楷体" w:hAnsi="楷体" w:eastAsia="楷体" w:cs="Tahoma"/>
                <w:color w:val="333333"/>
                <w:kern w:val="0"/>
                <w:sz w:val="21"/>
                <w:szCs w:val="21"/>
                <w:lang w:val="en-US" w:eastAsia="zh-CN"/>
              </w:rPr>
              <w:t>娄尔行、</w:t>
            </w:r>
            <w:r>
              <w:rPr>
                <w:rFonts w:hint="eastAsia" w:ascii="楷体" w:hAnsi="楷体" w:eastAsia="楷体" w:cs="Tahoma"/>
                <w:color w:val="333333"/>
                <w:kern w:val="0"/>
                <w:sz w:val="21"/>
                <w:szCs w:val="21"/>
              </w:rPr>
              <w:t>葛家澍等</w:t>
            </w:r>
            <w:r>
              <w:rPr>
                <w:rFonts w:hint="eastAsia" w:ascii="楷体" w:hAnsi="楷体" w:eastAsia="楷体" w:cs="Tahoma"/>
                <w:color w:val="333333"/>
                <w:kern w:val="0"/>
                <w:sz w:val="21"/>
                <w:szCs w:val="21"/>
                <w:lang w:eastAsia="zh-CN"/>
              </w:rPr>
              <w:t>，</w:t>
            </w:r>
            <w:r>
              <w:rPr>
                <w:rFonts w:hint="eastAsia" w:ascii="楷体" w:hAnsi="楷体" w:eastAsia="楷体" w:cs="Tahoma"/>
                <w:color w:val="333333"/>
                <w:kern w:val="0"/>
                <w:sz w:val="21"/>
                <w:szCs w:val="21"/>
                <w:lang w:val="en-US" w:eastAsia="zh-CN"/>
              </w:rPr>
              <w:t>培养学生的人文精神与</w:t>
            </w:r>
            <w:r>
              <w:rPr>
                <w:rFonts w:hint="eastAsia" w:ascii="楷体" w:hAnsi="楷体" w:eastAsia="楷体" w:cs="Tahoma"/>
                <w:color w:val="333333"/>
                <w:kern w:val="0"/>
                <w:sz w:val="21"/>
                <w:szCs w:val="21"/>
              </w:rPr>
              <w:t>敬业精神</w:t>
            </w:r>
            <w:r>
              <w:rPr>
                <w:rFonts w:hint="eastAsia" w:ascii="楷体" w:hAnsi="楷体" w:eastAsia="楷体" w:cs="Tahoma"/>
                <w:color w:val="333333"/>
                <w:kern w:val="0"/>
                <w:sz w:val="21"/>
                <w:szCs w:val="21"/>
                <w:lang w:eastAsia="zh-CN"/>
              </w:rPr>
              <w:t>；</w:t>
            </w:r>
            <w:r>
              <w:rPr>
                <w:rFonts w:hint="eastAsia" w:ascii="楷体" w:hAnsi="楷体" w:eastAsia="楷体" w:cs="Tahoma"/>
                <w:color w:val="333333"/>
                <w:kern w:val="0"/>
                <w:sz w:val="21"/>
                <w:szCs w:val="21"/>
                <w:lang w:val="en-US" w:eastAsia="zh-CN"/>
              </w:rPr>
              <w:t>通过对相关知识以及法规的介绍，引导学生养成“守底线、知敬畏”的良好品质，从源头上消除各种潜在的违法乱纪行为。</w:t>
            </w:r>
          </w:p>
          <w:p>
            <w:pPr>
              <w:widowControl/>
              <w:rPr>
                <w:rFonts w:hint="eastAsia"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相关依据：《中华人民共和国公司法》、《中华人民共和国会计法》、《中华人民共和国证券法》等</w:t>
            </w:r>
          </w:p>
        </w:tc>
        <w:tc>
          <w:tcPr>
            <w:tcW w:w="2268" w:type="dxa"/>
            <w:vAlign w:val="top"/>
          </w:tcPr>
          <w:p>
            <w:pPr>
              <w:widowControl/>
              <w:rPr>
                <w:rFonts w:hint="eastAsia"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理论讲授、案例教学、情景教学。</w:t>
            </w:r>
          </w:p>
          <w:p>
            <w:pPr>
              <w:widowControl/>
              <w:rPr>
                <w:rFonts w:hint="default" w:ascii="楷体" w:hAnsi="楷体" w:eastAsia="楷体" w:cs="Tahoma"/>
                <w:color w:val="333333"/>
                <w:kern w:val="0"/>
                <w:sz w:val="21"/>
                <w:szCs w:val="21"/>
                <w:lang w:val="en-US" w:eastAsia="zh-CN"/>
              </w:rPr>
            </w:pPr>
            <w:r>
              <w:rPr>
                <w:rFonts w:hint="default" w:ascii="楷体" w:hAnsi="楷体" w:eastAsia="楷体" w:cs="Tahoma"/>
                <w:color w:val="333333"/>
                <w:kern w:val="0"/>
                <w:sz w:val="21"/>
                <w:szCs w:val="21"/>
                <w:lang w:val="en-US" w:eastAsia="zh-CN"/>
              </w:rPr>
              <w:t>掌握财务管理的基本原则和基本概念，为以后各章的学习打好基础。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widowControl/>
              <w:rPr>
                <w:rFonts w:hint="eastAsia" w:ascii="楷体" w:hAnsi="楷体" w:eastAsia="楷体" w:cs="Tahoma"/>
                <w:color w:val="333333"/>
                <w:kern w:val="0"/>
                <w:sz w:val="21"/>
                <w:szCs w:val="21"/>
                <w:lang w:val="en-US" w:eastAsia="zh-CN"/>
              </w:rPr>
            </w:pPr>
          </w:p>
        </w:tc>
        <w:tc>
          <w:tcPr>
            <w:tcW w:w="1140" w:type="dxa"/>
            <w:vAlign w:val="top"/>
          </w:tcPr>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货币时间价值模块</w:t>
            </w:r>
          </w:p>
        </w:tc>
        <w:tc>
          <w:tcPr>
            <w:tcW w:w="3963" w:type="dxa"/>
            <w:vAlign w:val="top"/>
          </w:tcPr>
          <w:p>
            <w:pPr>
              <w:widowControl/>
              <w:rPr>
                <w:rFonts w:hint="eastAsia"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rPr>
              <w:t>思政映射点：</w:t>
            </w:r>
            <w:r>
              <w:rPr>
                <w:rFonts w:hint="eastAsia" w:ascii="楷体" w:hAnsi="楷体" w:eastAsia="楷体" w:cs="Tahoma"/>
                <w:color w:val="333333"/>
                <w:kern w:val="0"/>
                <w:sz w:val="21"/>
                <w:szCs w:val="21"/>
                <w:lang w:val="en-US" w:eastAsia="zh-CN"/>
              </w:rPr>
              <w:t>通过引入法国总统拿破仑的欠债故事，培养学生诚信、守诺的良好品格。借助货币时间价值的计算讲授，树立学生正确的价值观、金钱观。通过对知识内容的讲授，培养学生“重未来、轻过去”“看长远，不短视”的职业观与发展观。</w:t>
            </w:r>
          </w:p>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rPr>
              <w:t>相关依据：《中华人民共和国证券法》</w:t>
            </w:r>
            <w:r>
              <w:rPr>
                <w:rFonts w:hint="eastAsia" w:ascii="楷体" w:hAnsi="楷体" w:eastAsia="楷体" w:cs="Tahoma"/>
                <w:color w:val="333333"/>
                <w:kern w:val="0"/>
                <w:sz w:val="21"/>
                <w:szCs w:val="21"/>
                <w:lang w:eastAsia="zh-CN"/>
              </w:rPr>
              <w:t>、《</w:t>
            </w:r>
            <w:r>
              <w:rPr>
                <w:rFonts w:hint="eastAsia" w:ascii="楷体" w:hAnsi="楷体" w:eastAsia="楷体" w:cs="Tahoma"/>
                <w:color w:val="333333"/>
                <w:kern w:val="0"/>
                <w:sz w:val="21"/>
                <w:szCs w:val="21"/>
                <w:lang w:val="en-US" w:eastAsia="zh-CN"/>
              </w:rPr>
              <w:t>会计准则</w:t>
            </w:r>
            <w:r>
              <w:rPr>
                <w:rFonts w:hint="eastAsia" w:ascii="楷体" w:hAnsi="楷体" w:eastAsia="楷体" w:cs="Tahoma"/>
                <w:color w:val="333333"/>
                <w:kern w:val="0"/>
                <w:sz w:val="21"/>
                <w:szCs w:val="21"/>
                <w:lang w:eastAsia="zh-CN"/>
              </w:rPr>
              <w:t>》</w:t>
            </w:r>
            <w:r>
              <w:rPr>
                <w:rFonts w:hint="eastAsia" w:ascii="楷体" w:hAnsi="楷体" w:eastAsia="楷体" w:cs="Tahoma"/>
                <w:color w:val="333333"/>
                <w:kern w:val="0"/>
                <w:sz w:val="21"/>
                <w:szCs w:val="21"/>
                <w:lang w:val="en-US" w:eastAsia="zh-CN"/>
              </w:rPr>
              <w:t>等</w:t>
            </w:r>
          </w:p>
        </w:tc>
        <w:tc>
          <w:tcPr>
            <w:tcW w:w="2268" w:type="dxa"/>
            <w:vAlign w:val="top"/>
          </w:tcPr>
          <w:p>
            <w:pPr>
              <w:widowControl/>
              <w:rPr>
                <w:rFonts w:hint="eastAsia"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理论讲授、案例教学、慕课扩展。</w:t>
            </w:r>
          </w:p>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理解货币时间价值的内涵；掌握复利、年金的现值与终值计算。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widowControl/>
              <w:rPr>
                <w:rFonts w:hint="eastAsia" w:ascii="楷体" w:hAnsi="楷体" w:eastAsia="楷体" w:cs="Tahoma"/>
                <w:color w:val="333333"/>
                <w:kern w:val="0"/>
                <w:sz w:val="21"/>
                <w:szCs w:val="21"/>
                <w:lang w:val="en-US" w:eastAsia="zh-CN"/>
              </w:rPr>
            </w:pPr>
          </w:p>
        </w:tc>
        <w:tc>
          <w:tcPr>
            <w:tcW w:w="1140" w:type="dxa"/>
            <w:vAlign w:val="top"/>
          </w:tcPr>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证券估值模块</w:t>
            </w:r>
          </w:p>
        </w:tc>
        <w:tc>
          <w:tcPr>
            <w:tcW w:w="3963" w:type="dxa"/>
            <w:vAlign w:val="top"/>
          </w:tcPr>
          <w:p>
            <w:pPr>
              <w:widowControl/>
              <w:rPr>
                <w:rFonts w:hint="eastAsia"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rPr>
              <w:t>思政映射点：</w:t>
            </w:r>
            <w:r>
              <w:rPr>
                <w:rFonts w:hint="eastAsia" w:ascii="楷体" w:hAnsi="楷体" w:eastAsia="楷体" w:cs="Tahoma"/>
                <w:color w:val="333333"/>
                <w:kern w:val="0"/>
                <w:sz w:val="21"/>
                <w:szCs w:val="21"/>
                <w:lang w:val="en-US" w:eastAsia="zh-CN"/>
              </w:rPr>
              <w:t>通过对债券、股票等多种证券形式的介绍，提高学生对于我国资本市场融资方式的认识，加强学生对制度文化以及经济文化的认知。通过对不同估值方法的计算，让学生能运用专业知识作出正确的决策判断，有助于未来在职业发展中为中国经济的发展贡献力量。</w:t>
            </w:r>
          </w:p>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相关依据：</w:t>
            </w:r>
            <w:r>
              <w:rPr>
                <w:rFonts w:hint="eastAsia" w:ascii="楷体" w:hAnsi="楷体" w:eastAsia="楷体" w:cs="Tahoma"/>
                <w:color w:val="333333"/>
                <w:kern w:val="0"/>
                <w:sz w:val="21"/>
                <w:szCs w:val="21"/>
              </w:rPr>
              <w:t>《中华人民共和国证券法》</w:t>
            </w:r>
            <w:r>
              <w:rPr>
                <w:rFonts w:hint="eastAsia" w:ascii="楷体" w:hAnsi="楷体" w:eastAsia="楷体" w:cs="Tahoma"/>
                <w:color w:val="333333"/>
                <w:kern w:val="0"/>
                <w:sz w:val="21"/>
                <w:szCs w:val="21"/>
                <w:lang w:eastAsia="zh-CN"/>
              </w:rPr>
              <w:t>、《证券交易所管理办法》、《中华人民共和国刑法》</w:t>
            </w:r>
            <w:r>
              <w:rPr>
                <w:rFonts w:hint="eastAsia" w:ascii="楷体" w:hAnsi="楷体" w:eastAsia="楷体" w:cs="Tahoma"/>
                <w:color w:val="333333"/>
                <w:kern w:val="0"/>
                <w:sz w:val="21"/>
                <w:szCs w:val="21"/>
                <w:lang w:val="en-US" w:eastAsia="zh-CN"/>
              </w:rPr>
              <w:t>等</w:t>
            </w:r>
          </w:p>
        </w:tc>
        <w:tc>
          <w:tcPr>
            <w:tcW w:w="2268" w:type="dxa"/>
            <w:vAlign w:val="top"/>
          </w:tcPr>
          <w:p>
            <w:pPr>
              <w:widowControl/>
              <w:rPr>
                <w:rFonts w:hint="eastAsia"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理论讲授、案例教学、慕课扩展。</w:t>
            </w:r>
          </w:p>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掌握债券、股票等常见证券的估值方法，并能运用估值模型进行购买决策判断。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widowControl/>
              <w:rPr>
                <w:rFonts w:hint="eastAsia" w:ascii="楷体" w:hAnsi="楷体" w:eastAsia="楷体" w:cs="Tahoma"/>
                <w:color w:val="333333"/>
                <w:kern w:val="0"/>
                <w:sz w:val="21"/>
                <w:szCs w:val="21"/>
                <w:lang w:val="en-US" w:eastAsia="zh-CN"/>
              </w:rPr>
            </w:pPr>
          </w:p>
        </w:tc>
        <w:tc>
          <w:tcPr>
            <w:tcW w:w="1140" w:type="dxa"/>
            <w:vAlign w:val="top"/>
          </w:tcPr>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筹资管理模块</w:t>
            </w:r>
          </w:p>
        </w:tc>
        <w:tc>
          <w:tcPr>
            <w:tcW w:w="3963" w:type="dxa"/>
            <w:vAlign w:val="top"/>
          </w:tcPr>
          <w:p>
            <w:pPr>
              <w:widowControl/>
              <w:rPr>
                <w:rFonts w:hint="eastAsia" w:ascii="楷体" w:hAnsi="楷体" w:eastAsia="楷体" w:cs="Tahoma"/>
                <w:color w:val="333333"/>
                <w:kern w:val="0"/>
                <w:sz w:val="21"/>
                <w:szCs w:val="21"/>
              </w:rPr>
            </w:pPr>
            <w:r>
              <w:rPr>
                <w:rFonts w:hint="eastAsia" w:ascii="楷体" w:hAnsi="楷体" w:eastAsia="楷体" w:cs="Tahoma"/>
                <w:color w:val="333333"/>
                <w:kern w:val="0"/>
                <w:sz w:val="21"/>
                <w:szCs w:val="21"/>
              </w:rPr>
              <w:t>思政映射点：筹资是企业通过一定的渠道并利用恰当的方式来筹措资金，是财务管理的重要环节。在</w:t>
            </w:r>
            <w:r>
              <w:rPr>
                <w:rFonts w:hint="eastAsia" w:ascii="楷体" w:hAnsi="楷体" w:eastAsia="楷体" w:cs="Tahoma"/>
                <w:color w:val="333333"/>
                <w:kern w:val="0"/>
                <w:sz w:val="21"/>
                <w:szCs w:val="21"/>
                <w:lang w:val="en-US" w:eastAsia="zh-CN"/>
              </w:rPr>
              <w:t>筹资管理</w:t>
            </w:r>
            <w:r>
              <w:rPr>
                <w:rFonts w:hint="eastAsia" w:ascii="楷体" w:hAnsi="楷体" w:eastAsia="楷体" w:cs="Tahoma"/>
                <w:color w:val="333333"/>
                <w:kern w:val="0"/>
                <w:sz w:val="21"/>
                <w:szCs w:val="21"/>
              </w:rPr>
              <w:t>的教学中，要学生树立正确的筹资和资本成本观念，通过真实案例的学习，引导学生树立正确的金融观念，避免滋生虚荣心，锻炼学生自强不息、善于钻研的精神。</w:t>
            </w:r>
          </w:p>
          <w:p>
            <w:pPr>
              <w:widowControl/>
              <w:rPr>
                <w:rFonts w:hint="eastAsia"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rPr>
              <w:t>相关依据：《中华人民共和国公司法》、《中华人民共和国证券法》</w:t>
            </w:r>
            <w:r>
              <w:rPr>
                <w:rFonts w:hint="eastAsia" w:ascii="楷体" w:hAnsi="楷体" w:eastAsia="楷体" w:cs="Tahoma"/>
                <w:color w:val="333333"/>
                <w:kern w:val="0"/>
                <w:sz w:val="21"/>
                <w:szCs w:val="21"/>
                <w:lang w:val="en-US" w:eastAsia="zh-CN"/>
              </w:rPr>
              <w:t>等</w:t>
            </w:r>
          </w:p>
        </w:tc>
        <w:tc>
          <w:tcPr>
            <w:tcW w:w="2268" w:type="dxa"/>
            <w:vAlign w:val="top"/>
          </w:tcPr>
          <w:p>
            <w:pPr>
              <w:widowControl/>
              <w:rPr>
                <w:rFonts w:hint="eastAsia" w:ascii="楷体" w:hAnsi="楷体" w:eastAsia="楷体" w:cs="Tahoma"/>
                <w:color w:val="333333"/>
                <w:kern w:val="0"/>
                <w:sz w:val="21"/>
                <w:szCs w:val="21"/>
                <w:lang w:val="en-US" w:eastAsia="zh-CN"/>
              </w:rPr>
            </w:pPr>
            <w:r>
              <w:rPr>
                <w:rFonts w:hint="default" w:ascii="楷体" w:hAnsi="楷体" w:eastAsia="楷体" w:cs="Tahoma"/>
                <w:color w:val="333333"/>
                <w:kern w:val="0"/>
                <w:sz w:val="21"/>
                <w:szCs w:val="21"/>
                <w:lang w:val="en-US" w:eastAsia="zh-CN"/>
              </w:rPr>
              <w:t>理论讲授</w:t>
            </w:r>
            <w:r>
              <w:rPr>
                <w:rFonts w:hint="eastAsia" w:ascii="楷体" w:hAnsi="楷体" w:eastAsia="楷体" w:cs="Tahoma"/>
                <w:color w:val="333333"/>
                <w:kern w:val="0"/>
                <w:sz w:val="21"/>
                <w:szCs w:val="21"/>
                <w:lang w:val="en-US" w:eastAsia="zh-CN"/>
              </w:rPr>
              <w:t>、</w:t>
            </w:r>
            <w:r>
              <w:rPr>
                <w:rFonts w:hint="default" w:ascii="楷体" w:hAnsi="楷体" w:eastAsia="楷体" w:cs="Tahoma"/>
                <w:color w:val="333333"/>
                <w:kern w:val="0"/>
                <w:sz w:val="21"/>
                <w:szCs w:val="21"/>
                <w:lang w:val="en-US" w:eastAsia="zh-CN"/>
              </w:rPr>
              <w:t>案例分析</w:t>
            </w:r>
            <w:r>
              <w:rPr>
                <w:rFonts w:hint="eastAsia" w:ascii="楷体" w:hAnsi="楷体" w:eastAsia="楷体" w:cs="Tahoma"/>
                <w:color w:val="333333"/>
                <w:kern w:val="0"/>
                <w:sz w:val="21"/>
                <w:szCs w:val="21"/>
                <w:lang w:val="en-US" w:eastAsia="zh-CN"/>
              </w:rPr>
              <w:t>、慕课扩展。</w:t>
            </w:r>
          </w:p>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掌握长期筹资的方式与特点</w:t>
            </w:r>
            <w:r>
              <w:rPr>
                <w:rFonts w:hint="default" w:ascii="楷体" w:hAnsi="楷体" w:eastAsia="楷体" w:cs="Tahoma"/>
                <w:color w:val="333333"/>
                <w:kern w:val="0"/>
                <w:sz w:val="21"/>
                <w:szCs w:val="21"/>
                <w:lang w:val="en-US" w:eastAsia="zh-CN"/>
              </w:rPr>
              <w:t>，培养学生进行科学财务筹资决策的能力。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Borders/>
            <w:vAlign w:val="center"/>
          </w:tcPr>
          <w:p>
            <w:pPr>
              <w:widowControl/>
              <w:rPr>
                <w:rFonts w:hint="eastAsia" w:ascii="楷体" w:hAnsi="楷体" w:eastAsia="楷体" w:cs="Tahoma"/>
                <w:color w:val="333333"/>
                <w:kern w:val="0"/>
                <w:sz w:val="21"/>
                <w:szCs w:val="21"/>
                <w:lang w:val="en-US" w:eastAsia="zh-CN"/>
              </w:rPr>
            </w:pPr>
          </w:p>
        </w:tc>
        <w:tc>
          <w:tcPr>
            <w:tcW w:w="1140" w:type="dxa"/>
            <w:vAlign w:val="top"/>
          </w:tcPr>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投资管理模块</w:t>
            </w:r>
          </w:p>
        </w:tc>
        <w:tc>
          <w:tcPr>
            <w:tcW w:w="3963" w:type="dxa"/>
            <w:vAlign w:val="top"/>
          </w:tcPr>
          <w:p>
            <w:pPr>
              <w:widowControl/>
              <w:rPr>
                <w:rFonts w:hint="eastAsia" w:ascii="楷体" w:hAnsi="楷体" w:eastAsia="楷体" w:cs="Tahoma"/>
                <w:color w:val="333333"/>
                <w:kern w:val="0"/>
                <w:sz w:val="21"/>
                <w:szCs w:val="21"/>
              </w:rPr>
            </w:pPr>
            <w:r>
              <w:rPr>
                <w:rFonts w:hint="eastAsia" w:ascii="楷体" w:hAnsi="楷体" w:eastAsia="楷体" w:cs="Tahoma"/>
                <w:color w:val="333333"/>
                <w:kern w:val="0"/>
                <w:sz w:val="21"/>
                <w:szCs w:val="21"/>
              </w:rPr>
              <w:t>思政映射点：投资管理在财务管理课程中是指对投资项目的财务可行性、投资结构、现金流的内容等进行研究的过程。在投资管理的教学模块中，需要引导学生树立正确的风险控制观念，了解国家的相关的方针政策，培养学生守法经营、合规经营的意识，守好底线。</w:t>
            </w:r>
            <w:bookmarkStart w:id="0" w:name="_GoBack"/>
            <w:bookmarkEnd w:id="0"/>
          </w:p>
          <w:p>
            <w:pPr>
              <w:widowControl/>
              <w:rPr>
                <w:rFonts w:hint="eastAsia" w:ascii="楷体" w:hAnsi="楷体" w:eastAsia="楷体" w:cs="Tahoma"/>
                <w:color w:val="333333"/>
                <w:kern w:val="0"/>
                <w:sz w:val="21"/>
                <w:szCs w:val="21"/>
              </w:rPr>
            </w:pPr>
            <w:r>
              <w:rPr>
                <w:rFonts w:hint="eastAsia" w:ascii="楷体" w:hAnsi="楷体" w:eastAsia="楷体" w:cs="Tahoma"/>
                <w:color w:val="333333"/>
                <w:kern w:val="0"/>
                <w:sz w:val="21"/>
                <w:szCs w:val="21"/>
              </w:rPr>
              <w:t xml:space="preserve"> 相关依据：《中华人民共和国公司法》、《中华人民共和国证券法》、《中华人民共和国证券投资基金法》、《中华人民共和国企业所得税法》、《中华人民共和国合伙企业法》、《中华人民共和国合同法》等</w:t>
            </w:r>
          </w:p>
        </w:tc>
        <w:tc>
          <w:tcPr>
            <w:tcW w:w="2268" w:type="dxa"/>
            <w:vAlign w:val="top"/>
          </w:tcPr>
          <w:p>
            <w:pPr>
              <w:widowControl/>
              <w:rPr>
                <w:rFonts w:hint="eastAsia" w:ascii="楷体" w:hAnsi="楷体" w:eastAsia="楷体" w:cs="Tahoma"/>
                <w:color w:val="333333"/>
                <w:kern w:val="0"/>
                <w:sz w:val="21"/>
                <w:szCs w:val="21"/>
                <w:lang w:val="en-US" w:eastAsia="zh-CN"/>
              </w:rPr>
            </w:pPr>
            <w:r>
              <w:rPr>
                <w:rFonts w:hint="default" w:ascii="楷体" w:hAnsi="楷体" w:eastAsia="楷体" w:cs="Tahoma"/>
                <w:color w:val="333333"/>
                <w:kern w:val="0"/>
                <w:sz w:val="21"/>
                <w:szCs w:val="21"/>
                <w:lang w:val="en-US" w:eastAsia="zh-CN"/>
              </w:rPr>
              <w:t>理论讲授</w:t>
            </w:r>
            <w:r>
              <w:rPr>
                <w:rFonts w:hint="eastAsia" w:ascii="楷体" w:hAnsi="楷体" w:eastAsia="楷体" w:cs="Tahoma"/>
                <w:color w:val="333333"/>
                <w:kern w:val="0"/>
                <w:sz w:val="21"/>
                <w:szCs w:val="21"/>
                <w:lang w:val="en-US" w:eastAsia="zh-CN"/>
              </w:rPr>
              <w:t>、</w:t>
            </w:r>
            <w:r>
              <w:rPr>
                <w:rFonts w:hint="default" w:ascii="楷体" w:hAnsi="楷体" w:eastAsia="楷体" w:cs="Tahoma"/>
                <w:color w:val="333333"/>
                <w:kern w:val="0"/>
                <w:sz w:val="21"/>
                <w:szCs w:val="21"/>
                <w:lang w:val="en-US" w:eastAsia="zh-CN"/>
              </w:rPr>
              <w:t>案例</w:t>
            </w:r>
            <w:r>
              <w:rPr>
                <w:rFonts w:hint="eastAsia" w:ascii="楷体" w:hAnsi="楷体" w:eastAsia="楷体" w:cs="Tahoma"/>
                <w:color w:val="333333"/>
                <w:kern w:val="0"/>
                <w:sz w:val="21"/>
                <w:szCs w:val="21"/>
                <w:lang w:val="en-US" w:eastAsia="zh-CN"/>
              </w:rPr>
              <w:t>教学与实践教学。</w:t>
            </w:r>
          </w:p>
          <w:p>
            <w:pPr>
              <w:widowControl/>
              <w:rPr>
                <w:rFonts w:hint="default" w:ascii="楷体" w:hAnsi="楷体" w:eastAsia="楷体" w:cs="Tahoma"/>
                <w:color w:val="333333"/>
                <w:kern w:val="0"/>
                <w:sz w:val="21"/>
                <w:szCs w:val="21"/>
                <w:lang w:val="en-US" w:eastAsia="zh-CN"/>
              </w:rPr>
            </w:pPr>
            <w:r>
              <w:rPr>
                <w:rFonts w:hint="eastAsia" w:ascii="楷体" w:hAnsi="楷体" w:eastAsia="楷体" w:cs="Tahoma"/>
                <w:color w:val="333333"/>
                <w:kern w:val="0"/>
                <w:sz w:val="21"/>
                <w:szCs w:val="21"/>
                <w:lang w:val="en-US" w:eastAsia="zh-CN"/>
              </w:rPr>
              <w:t>理解投资过程中的现金流，掌握投资项目评估的指标，并能熟练运用相关指标进行决策。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中级财务管理</w:t>
            </w: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财务报表分析及管理用报表的编制与分析</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利用财务报表分析理论和案例的讲解、分析，剖析常见的财务舞弊和造假的常用手法，学习财务造假案例的相关处罚措施和造成的恶劣影响，给学生以警示作用，牢固树立不触碰财经法规红线和严格遵守职业道德底线的意识。</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相关依据：《中华人民共和国公司法》、《中华人民共和国会计法》、《中华人民共和国证券法》、上市公司信息披露规则等。</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理论讲授+案例分析</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通过自主案例分析、研讨等形式进行学习，能切身体会到遵守财经纪律的重要性。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企业筹资模块</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企业筹资管理包括筹资来源、筹资金额、筹资方式、筹资成本等多方面的管理。在财务管理的教学中，要培养学生的专业精神，具有钻研精神，对不同的筹资方式有深入地学习和了解。同时要树立正确的金融观念，避免滋生虚荣心，对企业的筹资成本的管理树立起应有的责任心。</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相关依据：《中华人民共和国公司法》、《中华人民共和国证券法》</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w:t>
            </w:r>
            <w:r>
              <w:rPr>
                <w:rFonts w:hint="eastAsia" w:ascii="楷体" w:hAnsi="楷体" w:eastAsia="楷体" w:cs="Tahoma"/>
                <w:color w:val="333333"/>
                <w:kern w:val="0"/>
                <w:sz w:val="21"/>
                <w:szCs w:val="21"/>
              </w:rPr>
              <w:t>+</w:t>
            </w:r>
            <w:r>
              <w:rPr>
                <w:rFonts w:ascii="楷体" w:hAnsi="楷体" w:eastAsia="楷体" w:cs="Tahoma"/>
                <w:color w:val="333333"/>
                <w:kern w:val="0"/>
                <w:sz w:val="21"/>
                <w:szCs w:val="21"/>
              </w:rPr>
              <w:t>案例分析</w:t>
            </w:r>
            <w:r>
              <w:rPr>
                <w:rFonts w:hint="eastAsia" w:ascii="楷体" w:hAnsi="楷体" w:eastAsia="楷体" w:cs="Tahoma"/>
                <w:color w:val="333333"/>
                <w:kern w:val="0"/>
                <w:sz w:val="21"/>
                <w:szCs w:val="21"/>
              </w:rPr>
              <w:t>学生通过筹资基本理论知识的学习，具有正确的筹资观念。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资产估值及投资模块</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资产估值包括债券、股票、企业价值以及期权等资产的估值，是投资决策的主要内容。在投资管理的教学模块中，需要引导学生树立正确的风险控制观念，树立公平公正的理念，了解国家的相关的方针政策，培养学生守法经营、合规经营的意识，守好投资估值和投资管理的底线。</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相关依据：《中华人民共和国公司法》、《中华人民共和国证券法》、《</w:t>
            </w:r>
            <w:r>
              <w:rPr>
                <w:sz w:val="21"/>
                <w:szCs w:val="21"/>
              </w:rPr>
              <w:fldChar w:fldCharType="begin"/>
            </w:r>
            <w:r>
              <w:rPr>
                <w:sz w:val="21"/>
                <w:szCs w:val="21"/>
              </w:rPr>
              <w:instrText xml:space="preserve"> HYPERLINK "https://baike.baidu.com/item/%E4%B8%AD%E5%8D%8E%E4%BA%BA%E6%B0%91%E5%85%B1%E5%92%8C%E5%9B%BD%E8%AF%81%E5%88%B8%E6%8A%95%E8%B5%84%E5%9F%BA%E9%87%91%E6%B3%95/4498036" \t "https://baike.baidu.com/item/_blank" </w:instrText>
            </w:r>
            <w:r>
              <w:rPr>
                <w:sz w:val="21"/>
                <w:szCs w:val="21"/>
              </w:rPr>
              <w:fldChar w:fldCharType="separate"/>
            </w:r>
            <w:r>
              <w:rPr>
                <w:rFonts w:hint="eastAsia" w:ascii="楷体" w:hAnsi="楷体" w:eastAsia="楷体" w:cs="Tahoma"/>
                <w:color w:val="333333"/>
                <w:kern w:val="0"/>
                <w:sz w:val="21"/>
                <w:szCs w:val="21"/>
              </w:rPr>
              <w:t>中华人民共和国证券投资基金法</w:t>
            </w:r>
            <w:r>
              <w:rPr>
                <w:rFonts w:hint="eastAsia" w:ascii="楷体" w:hAnsi="楷体" w:eastAsia="楷体" w:cs="Tahoma"/>
                <w:color w:val="333333"/>
                <w:kern w:val="0"/>
                <w:sz w:val="21"/>
                <w:szCs w:val="21"/>
              </w:rPr>
              <w:fldChar w:fldCharType="end"/>
            </w:r>
            <w:r>
              <w:rPr>
                <w:rFonts w:hint="eastAsia" w:ascii="楷体" w:hAnsi="楷体" w:eastAsia="楷体" w:cs="Tahoma"/>
                <w:color w:val="333333"/>
                <w:kern w:val="0"/>
                <w:sz w:val="21"/>
                <w:szCs w:val="21"/>
              </w:rPr>
              <w:t>》、《中华人民共和国企业所得税法》、《</w:t>
            </w:r>
            <w:r>
              <w:rPr>
                <w:sz w:val="21"/>
                <w:szCs w:val="21"/>
              </w:rPr>
              <w:fldChar w:fldCharType="begin"/>
            </w:r>
            <w:r>
              <w:rPr>
                <w:sz w:val="21"/>
                <w:szCs w:val="21"/>
              </w:rPr>
              <w:instrText xml:space="preserve"> HYPERLINK "https://baike.baidu.com/item/%E4%B8%AD%E5%8D%8E%E4%BA%BA%E6%B0%91%E5%85%B1%E5%92%8C%E5%9B%BD%E5%90%88%E4%BC%99%E4%BC%81%E4%B8%9A%E6%B3%95/1749726" \t "https://baike.baidu.com/item/_blank" </w:instrText>
            </w:r>
            <w:r>
              <w:rPr>
                <w:sz w:val="21"/>
                <w:szCs w:val="21"/>
              </w:rPr>
              <w:fldChar w:fldCharType="separate"/>
            </w:r>
            <w:r>
              <w:rPr>
                <w:rFonts w:hint="eastAsia" w:ascii="楷体" w:hAnsi="楷体" w:eastAsia="楷体" w:cs="Tahoma"/>
                <w:color w:val="333333"/>
                <w:kern w:val="0"/>
                <w:sz w:val="21"/>
                <w:szCs w:val="21"/>
              </w:rPr>
              <w:t>中华人民共和国合伙企业法</w:t>
            </w:r>
            <w:r>
              <w:rPr>
                <w:rFonts w:hint="eastAsia" w:ascii="楷体" w:hAnsi="楷体" w:eastAsia="楷体" w:cs="Tahoma"/>
                <w:color w:val="333333"/>
                <w:kern w:val="0"/>
                <w:sz w:val="21"/>
                <w:szCs w:val="21"/>
              </w:rPr>
              <w:fldChar w:fldCharType="end"/>
            </w:r>
            <w:r>
              <w:rPr>
                <w:rFonts w:hint="eastAsia" w:ascii="楷体" w:hAnsi="楷体" w:eastAsia="楷体" w:cs="Tahoma"/>
                <w:color w:val="333333"/>
                <w:kern w:val="0"/>
                <w:sz w:val="21"/>
                <w:szCs w:val="21"/>
              </w:rPr>
              <w:t>》、《中华人民共和国合同法》等</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w:t>
            </w:r>
            <w:r>
              <w:rPr>
                <w:rFonts w:hint="eastAsia" w:ascii="楷体" w:hAnsi="楷体" w:eastAsia="楷体" w:cs="Tahoma"/>
                <w:color w:val="333333"/>
                <w:kern w:val="0"/>
                <w:sz w:val="21"/>
                <w:szCs w:val="21"/>
              </w:rPr>
              <w:t>+</w:t>
            </w:r>
            <w:r>
              <w:rPr>
                <w:rFonts w:ascii="楷体" w:hAnsi="楷体" w:eastAsia="楷体" w:cs="Tahoma"/>
                <w:color w:val="333333"/>
                <w:kern w:val="0"/>
                <w:sz w:val="21"/>
                <w:szCs w:val="21"/>
              </w:rPr>
              <w:t>案例分析</w:t>
            </w:r>
            <w:r>
              <w:rPr>
                <w:rFonts w:hint="eastAsia" w:ascii="楷体" w:hAnsi="楷体" w:eastAsia="楷体" w:cs="Tahoma"/>
                <w:color w:val="333333"/>
                <w:kern w:val="0"/>
                <w:sz w:val="21"/>
                <w:szCs w:val="21"/>
              </w:rPr>
              <w:t>+实际投资案例设计</w:t>
            </w:r>
            <w:r>
              <w:rPr>
                <w:rFonts w:ascii="楷体" w:hAnsi="楷体" w:eastAsia="楷体" w:cs="Tahoma"/>
                <w:color w:val="333333"/>
                <w:kern w:val="0"/>
                <w:sz w:val="21"/>
                <w:szCs w:val="21"/>
              </w:rPr>
              <w:t>，培养学生进行科学投资决策决策的能力。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营运资金管理模块</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营运资金管理包括企业的流动资产和流动负债的管理，营运资金是企业日常管理的重要内容。营运资金管理特别是现金流的管理，是企业生死存亡的关键，在本模块的教学中，教师要通过一些经典案例的讲解，引导学生形成以现金为王的财务管理理念，树立风险意识，严格遵守现金管理的各种规章制度。要形成科学的风险预测、控制和管理的思维，确保在财务管理中维护各方利益，履行好自己的职责，做一个具有专业精神的财务管理人员。</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相关依据：《中华人民共和国公司法》、《中华人民共和国企业所得税法》、《</w:t>
            </w:r>
            <w:r>
              <w:rPr>
                <w:sz w:val="21"/>
                <w:szCs w:val="21"/>
              </w:rPr>
              <w:fldChar w:fldCharType="begin"/>
            </w:r>
            <w:r>
              <w:rPr>
                <w:sz w:val="21"/>
                <w:szCs w:val="21"/>
              </w:rPr>
              <w:instrText xml:space="preserve"> HYPERLINK "https://baike.baidu.com/item/%E4%B8%AD%E5%8D%8E%E4%BA%BA%E6%B0%91%E5%85%B1%E5%92%8C%E5%9B%BD%E5%90%88%E4%BC%99%E4%BC%81%E4%B8%9A%E6%B3%95/1749726" \t "https://baike.baidu.com/item/_blank" </w:instrText>
            </w:r>
            <w:r>
              <w:rPr>
                <w:sz w:val="21"/>
                <w:szCs w:val="21"/>
              </w:rPr>
              <w:fldChar w:fldCharType="separate"/>
            </w:r>
            <w:r>
              <w:rPr>
                <w:rFonts w:hint="eastAsia" w:ascii="楷体" w:hAnsi="楷体" w:eastAsia="楷体" w:cs="Tahoma"/>
                <w:color w:val="333333"/>
                <w:kern w:val="0"/>
                <w:sz w:val="21"/>
                <w:szCs w:val="21"/>
              </w:rPr>
              <w:t>中华人民共和国合伙企业法</w:t>
            </w:r>
            <w:r>
              <w:rPr>
                <w:rFonts w:hint="eastAsia" w:ascii="楷体" w:hAnsi="楷体" w:eastAsia="楷体" w:cs="Tahoma"/>
                <w:color w:val="333333"/>
                <w:kern w:val="0"/>
                <w:sz w:val="21"/>
                <w:szCs w:val="21"/>
              </w:rPr>
              <w:fldChar w:fldCharType="end"/>
            </w:r>
            <w:r>
              <w:rPr>
                <w:rFonts w:hint="eastAsia" w:ascii="楷体" w:hAnsi="楷体" w:eastAsia="楷体" w:cs="Tahoma"/>
                <w:color w:val="333333"/>
                <w:kern w:val="0"/>
                <w:sz w:val="21"/>
                <w:szCs w:val="21"/>
              </w:rPr>
              <w:t>》、《中华人民共和国合同法》等</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w:t>
            </w:r>
            <w:r>
              <w:rPr>
                <w:rFonts w:hint="eastAsia" w:ascii="楷体" w:hAnsi="楷体" w:eastAsia="楷体" w:cs="Tahoma"/>
                <w:color w:val="333333"/>
                <w:kern w:val="0"/>
                <w:sz w:val="21"/>
                <w:szCs w:val="21"/>
              </w:rPr>
              <w:t>+</w:t>
            </w:r>
            <w:r>
              <w:rPr>
                <w:rFonts w:ascii="楷体" w:hAnsi="楷体" w:eastAsia="楷体" w:cs="Tahoma"/>
                <w:color w:val="333333"/>
                <w:kern w:val="0"/>
                <w:sz w:val="21"/>
                <w:szCs w:val="21"/>
              </w:rPr>
              <w:t>案例分析培养的风险意识和营运资金管理的能力。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利润分配模块</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利润分配是指将企业利润按照谁出资谁受益的原则进行再分配，是增强投资者信心的关键环节。在本模块的教学中，要引导学生从管理者的角度出发，做到公平公正，如何更好地通过分配活动来凝聚企业的人心，保障利益相关者各方的合法利益。</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相关依据：《中华人民共和国公司法》、《中华人民共和国企业所得税法》、《</w:t>
            </w:r>
            <w:r>
              <w:rPr>
                <w:sz w:val="21"/>
                <w:szCs w:val="21"/>
              </w:rPr>
              <w:fldChar w:fldCharType="begin"/>
            </w:r>
            <w:r>
              <w:rPr>
                <w:sz w:val="21"/>
                <w:szCs w:val="21"/>
              </w:rPr>
              <w:instrText xml:space="preserve"> HYPERLINK "https://baike.baidu.com/item/%E4%B8%AD%E5%8D%8E%E4%BA%BA%E6%B0%91%E5%85%B1%E5%92%8C%E5%9B%BD%E5%90%88%E4%BC%99%E4%BC%81%E4%B8%9A%E6%B3%95/1749726" \t "https://baike.baidu.com/item/_blank" </w:instrText>
            </w:r>
            <w:r>
              <w:rPr>
                <w:sz w:val="21"/>
                <w:szCs w:val="21"/>
              </w:rPr>
              <w:fldChar w:fldCharType="separate"/>
            </w:r>
            <w:r>
              <w:rPr>
                <w:rFonts w:hint="eastAsia" w:ascii="楷体" w:hAnsi="楷体" w:eastAsia="楷体" w:cs="Tahoma"/>
                <w:color w:val="333333"/>
                <w:kern w:val="0"/>
                <w:sz w:val="21"/>
                <w:szCs w:val="21"/>
              </w:rPr>
              <w:t>中华人民共和国合伙企业法</w:t>
            </w:r>
            <w:r>
              <w:rPr>
                <w:rFonts w:hint="eastAsia" w:ascii="楷体" w:hAnsi="楷体" w:eastAsia="楷体" w:cs="Tahoma"/>
                <w:color w:val="333333"/>
                <w:kern w:val="0"/>
                <w:sz w:val="21"/>
                <w:szCs w:val="21"/>
              </w:rPr>
              <w:fldChar w:fldCharType="end"/>
            </w:r>
            <w:r>
              <w:rPr>
                <w:rFonts w:hint="eastAsia" w:ascii="楷体" w:hAnsi="楷体" w:eastAsia="楷体" w:cs="Tahoma"/>
                <w:color w:val="333333"/>
                <w:kern w:val="0"/>
                <w:sz w:val="21"/>
                <w:szCs w:val="21"/>
              </w:rPr>
              <w:t>》、《中华人民共和国合同法》等</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w:t>
            </w:r>
            <w:r>
              <w:rPr>
                <w:rFonts w:hint="eastAsia" w:ascii="楷体" w:hAnsi="楷体" w:eastAsia="楷体" w:cs="Tahoma"/>
                <w:color w:val="333333"/>
                <w:kern w:val="0"/>
                <w:sz w:val="21"/>
                <w:szCs w:val="21"/>
              </w:rPr>
              <w:t>+</w:t>
            </w:r>
            <w:r>
              <w:rPr>
                <w:rFonts w:ascii="楷体" w:hAnsi="楷体" w:eastAsia="楷体" w:cs="Tahoma"/>
                <w:color w:val="333333"/>
                <w:kern w:val="0"/>
                <w:sz w:val="21"/>
                <w:szCs w:val="21"/>
              </w:rPr>
              <w:t>案例分析培养学生</w:t>
            </w:r>
            <w:r>
              <w:rPr>
                <w:rFonts w:hint="eastAsia" w:ascii="楷体" w:hAnsi="楷体" w:eastAsia="楷体" w:cs="Tahoma"/>
                <w:color w:val="333333"/>
                <w:kern w:val="0"/>
                <w:sz w:val="21"/>
                <w:szCs w:val="21"/>
              </w:rPr>
              <w:t>公平公正的意识，具有较好</w:t>
            </w:r>
            <w:r>
              <w:rPr>
                <w:rFonts w:ascii="楷体" w:hAnsi="楷体" w:eastAsia="楷体" w:cs="Tahoma"/>
                <w:color w:val="333333"/>
                <w:kern w:val="0"/>
                <w:sz w:val="21"/>
                <w:szCs w:val="21"/>
              </w:rPr>
              <w:t>的财务分配管理能力。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tcPr>
          <w:p>
            <w:pPr>
              <w:rPr>
                <w:rFonts w:ascii="Times New Roman" w:hAnsi="Times New Roman" w:eastAsia="楷体" w:cs="Times New Roman"/>
                <w:sz w:val="21"/>
                <w:szCs w:val="21"/>
              </w:rPr>
            </w:pPr>
            <w:r>
              <w:rPr>
                <w:rFonts w:ascii="Times New Roman" w:hAnsi="Times New Roman" w:eastAsia="楷体" w:cs="Times New Roman"/>
                <w:sz w:val="21"/>
                <w:szCs w:val="21"/>
              </w:rPr>
              <w:t>高级财务管理</w:t>
            </w:r>
          </w:p>
        </w:tc>
        <w:tc>
          <w:tcPr>
            <w:tcW w:w="1140" w:type="dxa"/>
          </w:tcPr>
          <w:p>
            <w:pPr>
              <w:rPr>
                <w:rFonts w:ascii="Times New Roman" w:hAnsi="Times New Roman" w:eastAsia="楷体" w:cs="Times New Roman"/>
                <w:sz w:val="21"/>
                <w:szCs w:val="21"/>
              </w:rPr>
            </w:pPr>
            <w:r>
              <w:rPr>
                <w:rFonts w:ascii="Times New Roman" w:hAnsi="Times New Roman" w:eastAsia="楷体" w:cs="Times New Roman"/>
                <w:sz w:val="21"/>
                <w:szCs w:val="21"/>
              </w:rPr>
              <w:t>企业价值评估</w:t>
            </w:r>
            <w:r>
              <w:rPr>
                <w:rFonts w:hint="eastAsia" w:ascii="Times New Roman" w:hAnsi="Times New Roman" w:eastAsia="楷体" w:cs="Times New Roman"/>
                <w:sz w:val="21"/>
                <w:szCs w:val="21"/>
              </w:rPr>
              <w:t>模块</w:t>
            </w:r>
          </w:p>
        </w:tc>
        <w:tc>
          <w:tcPr>
            <w:tcW w:w="3963" w:type="dxa"/>
          </w:tcPr>
          <w:p>
            <w:pPr>
              <w:rPr>
                <w:rFonts w:ascii="Times New Roman" w:hAnsi="Times New Roman" w:eastAsia="楷体" w:cs="Times New Roman"/>
                <w:sz w:val="21"/>
                <w:szCs w:val="21"/>
              </w:rPr>
            </w:pPr>
            <w:r>
              <w:rPr>
                <w:rFonts w:ascii="Times New Roman" w:hAnsi="Times New Roman" w:eastAsia="楷体" w:cs="Times New Roman"/>
                <w:sz w:val="21"/>
                <w:szCs w:val="21"/>
              </w:rPr>
              <w:t>思政映射点：企业价值评</w:t>
            </w:r>
            <w:r>
              <w:rPr>
                <w:rFonts w:hint="eastAsia" w:ascii="Times New Roman" w:hAnsi="Times New Roman" w:eastAsia="楷体" w:cs="Times New Roman"/>
                <w:sz w:val="21"/>
                <w:szCs w:val="21"/>
                <w:lang w:val="en-US" w:eastAsia="zh-CN"/>
              </w:rPr>
              <w:t>估</w:t>
            </w:r>
            <w:r>
              <w:rPr>
                <w:rFonts w:ascii="Times New Roman" w:hAnsi="Times New Roman" w:eastAsia="楷体" w:cs="Times New Roman"/>
                <w:sz w:val="21"/>
                <w:szCs w:val="21"/>
              </w:rPr>
              <w:t>目的是分析和衡量一个企业或一个经营单位的公平市场价值，并提供有关信息以帮助投资人和管理当局改善决策，是高级财务管理的重要内容。在企业价值评估模块中，通过价值评估中的欺诈现象，引导学生形成正确的财富观和诚信公正的财富管理的中介精神。</w:t>
            </w:r>
          </w:p>
          <w:p>
            <w:pPr>
              <w:rPr>
                <w:rFonts w:ascii="Times New Roman" w:hAnsi="Times New Roman" w:eastAsia="楷体" w:cs="Times New Roman"/>
                <w:sz w:val="21"/>
                <w:szCs w:val="21"/>
              </w:rPr>
            </w:pPr>
            <w:r>
              <w:rPr>
                <w:rFonts w:ascii="Times New Roman" w:hAnsi="Times New Roman" w:eastAsia="楷体" w:cs="Times New Roman"/>
                <w:sz w:val="21"/>
                <w:szCs w:val="21"/>
              </w:rPr>
              <w:t>相关依据：</w:t>
            </w:r>
            <w:r>
              <w:rPr>
                <w:rFonts w:hint="eastAsia" w:ascii="Times New Roman" w:hAnsi="Times New Roman" w:eastAsia="楷体" w:cs="Times New Roman"/>
                <w:sz w:val="21"/>
                <w:szCs w:val="21"/>
              </w:rPr>
              <w:t>《</w:t>
            </w:r>
            <w:r>
              <w:rPr>
                <w:rFonts w:ascii="Times New Roman" w:hAnsi="Times New Roman" w:eastAsia="楷体" w:cs="Times New Roman"/>
                <w:sz w:val="21"/>
                <w:szCs w:val="21"/>
              </w:rPr>
              <w:t>中华人民共和国公司法》、《中华人民共和国证券法》、《中华人民共和国资产评估法》、《中华人民共和国物权法》等</w:t>
            </w:r>
          </w:p>
        </w:tc>
        <w:tc>
          <w:tcPr>
            <w:tcW w:w="2268" w:type="dxa"/>
          </w:tcPr>
          <w:p>
            <w:pPr>
              <w:rPr>
                <w:rFonts w:ascii="Times New Roman" w:hAnsi="Times New Roman" w:eastAsia="楷体" w:cs="Times New Roman"/>
                <w:sz w:val="21"/>
                <w:szCs w:val="21"/>
              </w:rPr>
            </w:pPr>
            <w:r>
              <w:rPr>
                <w:rFonts w:ascii="Times New Roman" w:hAnsi="Times New Roman" w:eastAsia="楷体" w:cs="Times New Roman"/>
                <w:sz w:val="21"/>
                <w:szCs w:val="21"/>
              </w:rPr>
              <w:t>理论讲授和案例分析相结合，培养学生进行科学企业价值评估的能力。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企业并购的财务管理模块</w:t>
            </w:r>
          </w:p>
        </w:tc>
        <w:tc>
          <w:tcPr>
            <w:tcW w:w="3963" w:type="dxa"/>
          </w:tcPr>
          <w:p>
            <w:pPr>
              <w:rPr>
                <w:rFonts w:ascii="Times New Roman" w:hAnsi="Times New Roman" w:eastAsia="楷体" w:cs="Times New Roman"/>
                <w:sz w:val="21"/>
                <w:szCs w:val="21"/>
              </w:rPr>
            </w:pPr>
            <w:r>
              <w:rPr>
                <w:rFonts w:ascii="Times New Roman" w:hAnsi="Times New Roman" w:eastAsia="楷体" w:cs="Times New Roman"/>
                <w:sz w:val="21"/>
                <w:szCs w:val="21"/>
              </w:rPr>
              <w:t>思政映射点：并购是企业重要的战略决策，可以帮助企业实现跨越式发展，但并购本身也存在不容忽视的风险，财务管理在并购成功与否方面发挥巨大作用。在企业并购的财务管理模块中，需要引导学生形成科学的风险预测预判和控制思维，确保在并购价值评估、支付方式和融资方案选择以及并购绩效评价过程中，履行好自己的职责，做一个具有专业精神的财务管理人员。</w:t>
            </w:r>
          </w:p>
          <w:p>
            <w:pPr>
              <w:widowControl/>
              <w:rPr>
                <w:rFonts w:ascii="楷体" w:hAnsi="楷体" w:eastAsia="楷体" w:cs="Tahoma"/>
                <w:color w:val="333333"/>
                <w:kern w:val="0"/>
                <w:sz w:val="21"/>
                <w:szCs w:val="21"/>
              </w:rPr>
            </w:pPr>
            <w:r>
              <w:rPr>
                <w:rFonts w:ascii="Times New Roman" w:hAnsi="Times New Roman" w:eastAsia="楷体" w:cs="Times New Roman"/>
                <w:sz w:val="21"/>
                <w:szCs w:val="21"/>
              </w:rPr>
              <w:t>相关依据：《中华人民共和国公司法》、《中华人民共和国证券法》、《上市公司收购管理办法》、《上市公司重大资产重组管理办法》等</w:t>
            </w:r>
          </w:p>
        </w:tc>
        <w:tc>
          <w:tcPr>
            <w:tcW w:w="2268"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理论讲授和案例分析相结合，培养学生进行科学财务投资和融资决策的能力。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企业集团财务管理</w:t>
            </w:r>
            <w:r>
              <w:rPr>
                <w:rFonts w:hint="eastAsia" w:ascii="Times New Roman" w:hAnsi="Times New Roman" w:eastAsia="楷体" w:cs="Times New Roman"/>
                <w:sz w:val="21"/>
                <w:szCs w:val="21"/>
              </w:rPr>
              <w:t>模块</w:t>
            </w:r>
          </w:p>
        </w:tc>
        <w:tc>
          <w:tcPr>
            <w:tcW w:w="3963" w:type="dxa"/>
          </w:tcPr>
          <w:p>
            <w:pPr>
              <w:rPr>
                <w:rFonts w:ascii="Times New Roman" w:hAnsi="Times New Roman" w:eastAsia="楷体" w:cs="Times New Roman"/>
                <w:sz w:val="21"/>
                <w:szCs w:val="21"/>
              </w:rPr>
            </w:pPr>
            <w:r>
              <w:rPr>
                <w:rFonts w:ascii="Times New Roman" w:hAnsi="Times New Roman" w:eastAsia="楷体" w:cs="Times New Roman"/>
                <w:sz w:val="21"/>
                <w:szCs w:val="21"/>
              </w:rPr>
              <w:t>思政映射点：企业集团指的是以资本为主要纽带，通过持股、控股等方式紧密联系、协调行动的企业群体。企业集团运营及其风险是高级财务管理关注的重要问题。在企业集团财务管理模块中，要学生树立正确的风险控制观念，通过真实案例的学习，让学生了解企业集团整体的稳定发展对于防范和化解系统性金融风险的重要意义，增强学生的使命感和责任感。</w:t>
            </w:r>
          </w:p>
          <w:p>
            <w:pPr>
              <w:widowControl/>
              <w:rPr>
                <w:rFonts w:ascii="楷体" w:hAnsi="楷体" w:eastAsia="楷体" w:cs="Tahoma"/>
                <w:color w:val="333333"/>
                <w:kern w:val="0"/>
                <w:sz w:val="21"/>
                <w:szCs w:val="21"/>
              </w:rPr>
            </w:pPr>
            <w:r>
              <w:rPr>
                <w:rFonts w:ascii="Times New Roman" w:hAnsi="Times New Roman" w:eastAsia="楷体" w:cs="Times New Roman"/>
                <w:sz w:val="21"/>
                <w:szCs w:val="21"/>
              </w:rPr>
              <w:t>相关依据：《中华人民共和国公司法》、《中华人民共和国证券法》、《企业集团财务公司管理办法》、《企业集团登记管理暂行规定》等</w:t>
            </w:r>
          </w:p>
        </w:tc>
        <w:tc>
          <w:tcPr>
            <w:tcW w:w="2268"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理论讲授和案例分析相结合，培养学生企业集团财务管理的能力。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中小企业融资</w:t>
            </w:r>
            <w:r>
              <w:rPr>
                <w:rFonts w:hint="eastAsia" w:ascii="Times New Roman" w:hAnsi="Times New Roman" w:eastAsia="楷体" w:cs="Times New Roman"/>
                <w:sz w:val="21"/>
                <w:szCs w:val="21"/>
              </w:rPr>
              <w:t>模块</w:t>
            </w:r>
          </w:p>
        </w:tc>
        <w:tc>
          <w:tcPr>
            <w:tcW w:w="3963" w:type="dxa"/>
          </w:tcPr>
          <w:p>
            <w:pPr>
              <w:rPr>
                <w:rFonts w:ascii="Times New Roman" w:hAnsi="Times New Roman" w:eastAsia="楷体" w:cs="Times New Roman"/>
                <w:sz w:val="21"/>
                <w:szCs w:val="21"/>
              </w:rPr>
            </w:pPr>
            <w:r>
              <w:rPr>
                <w:rFonts w:ascii="Times New Roman" w:hAnsi="Times New Roman" w:eastAsia="楷体" w:cs="Times New Roman"/>
                <w:sz w:val="21"/>
                <w:szCs w:val="21"/>
              </w:rPr>
              <w:t>思政映射点：中小企业是我国经济发展中不可忽视的重要组成部分，融资难、融资贵历来是制约中小企业生存发展的主要问题。在中小企业融资模块中，要引导学生树立正确的筹资和资本成本观点，通过真实案例的学习，引导学生树立正确的金融观念，避免出现立场不坚定、职业精神缺乏的情况，引导学生养成理性分析、科学严谨的职业精神。</w:t>
            </w:r>
          </w:p>
          <w:p>
            <w:pPr>
              <w:widowControl/>
              <w:rPr>
                <w:rFonts w:ascii="楷体" w:hAnsi="楷体" w:eastAsia="楷体" w:cs="Tahoma"/>
                <w:color w:val="333333"/>
                <w:kern w:val="0"/>
                <w:sz w:val="21"/>
                <w:szCs w:val="21"/>
              </w:rPr>
            </w:pPr>
            <w:r>
              <w:rPr>
                <w:rFonts w:ascii="Times New Roman" w:hAnsi="Times New Roman" w:eastAsia="楷体" w:cs="Times New Roman"/>
                <w:sz w:val="21"/>
                <w:szCs w:val="21"/>
              </w:rPr>
              <w:t>相关依据：《中华人民共和国公司法》、《中华人民共和国中小企业促进法》、《中小企业信用担保资金管理办法》等</w:t>
            </w:r>
          </w:p>
        </w:tc>
        <w:tc>
          <w:tcPr>
            <w:tcW w:w="2268"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理论讲授和案例分析相结合，培养学生进行中小企业财务融资决策的能力。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外汇风险管理模块</w:t>
            </w:r>
          </w:p>
        </w:tc>
        <w:tc>
          <w:tcPr>
            <w:tcW w:w="3963" w:type="dxa"/>
          </w:tcPr>
          <w:p>
            <w:pPr>
              <w:rPr>
                <w:rFonts w:ascii="Times New Roman" w:hAnsi="Times New Roman" w:eastAsia="楷体" w:cs="Times New Roman"/>
                <w:sz w:val="21"/>
                <w:szCs w:val="21"/>
              </w:rPr>
            </w:pPr>
            <w:r>
              <w:rPr>
                <w:rFonts w:ascii="Times New Roman" w:hAnsi="Times New Roman" w:eastAsia="楷体" w:cs="Times New Roman"/>
                <w:sz w:val="21"/>
                <w:szCs w:val="21"/>
              </w:rPr>
              <w:t>思政映射点：随着经济全球化程度的加深，国际政治经济环境的复杂性给企业的国际化经营带来了新的挑战，其中外汇风险管理是企业面临全球化市场必须重点解决的问题，也是高级财务管理的重要内容。在外汇风险管理模块中，需要引导学生树立正确的风险控制观念、思考人民币升值对我国宏观经济和微观企业的影响，让学生意识到建立人类命运共同体的重要性，激发学生的专业使命和责任担当意识。</w:t>
            </w:r>
          </w:p>
          <w:p>
            <w:pPr>
              <w:widowControl/>
              <w:rPr>
                <w:rFonts w:ascii="楷体" w:hAnsi="楷体" w:eastAsia="楷体" w:cs="Tahoma"/>
                <w:color w:val="333333"/>
                <w:kern w:val="0"/>
                <w:sz w:val="21"/>
                <w:szCs w:val="21"/>
              </w:rPr>
            </w:pPr>
            <w:r>
              <w:rPr>
                <w:rFonts w:ascii="Times New Roman" w:hAnsi="Times New Roman" w:eastAsia="楷体" w:cs="Times New Roman"/>
                <w:sz w:val="21"/>
                <w:szCs w:val="21"/>
              </w:rPr>
              <w:t>相关依据：《中华人民共和国外汇管理条例》、《境内外汇划转管暂行规定》等</w:t>
            </w:r>
          </w:p>
        </w:tc>
        <w:tc>
          <w:tcPr>
            <w:tcW w:w="2268"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理论讲授和案例分析相结合，培养学生提高外汇风险管理能力。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企业破产、重整与清算的财务管理模块</w:t>
            </w:r>
          </w:p>
        </w:tc>
        <w:tc>
          <w:tcPr>
            <w:tcW w:w="3963" w:type="dxa"/>
          </w:tcPr>
          <w:p>
            <w:pPr>
              <w:rPr>
                <w:rFonts w:ascii="Times New Roman" w:hAnsi="Times New Roman" w:eastAsia="楷体" w:cs="Times New Roman"/>
                <w:sz w:val="21"/>
                <w:szCs w:val="21"/>
              </w:rPr>
            </w:pPr>
            <w:r>
              <w:rPr>
                <w:rFonts w:ascii="Times New Roman" w:hAnsi="Times New Roman" w:eastAsia="楷体" w:cs="Times New Roman"/>
                <w:sz w:val="21"/>
                <w:szCs w:val="21"/>
              </w:rPr>
              <w:t>思政映射点：企业破产清算是世界各国经济运行中不可避免的经济现象，其中的财务管理更是关键性环节。在企业破产、重整与清算的财务管理模块中，要学生树立正确的财富观、法制观和诚信观，避免故意隐瞒破产财产、弄虚作假，侵犯债权人利益的行为，强化学生的法律意识和诚信意识。</w:t>
            </w:r>
          </w:p>
          <w:p>
            <w:pPr>
              <w:widowControl/>
              <w:rPr>
                <w:rFonts w:ascii="楷体" w:hAnsi="楷体" w:eastAsia="楷体" w:cs="Tahoma"/>
                <w:color w:val="333333"/>
                <w:kern w:val="0"/>
                <w:sz w:val="21"/>
                <w:szCs w:val="21"/>
              </w:rPr>
            </w:pPr>
            <w:r>
              <w:rPr>
                <w:rFonts w:ascii="Times New Roman" w:hAnsi="Times New Roman" w:eastAsia="楷体" w:cs="Times New Roman"/>
                <w:sz w:val="21"/>
                <w:szCs w:val="21"/>
              </w:rPr>
              <w:t>相关依据：《中华人民共和国公司法》、《中华人民共和国会计法》、《中华人民共和国证券法》、《中华人民共和国企业破产法》等</w:t>
            </w:r>
          </w:p>
        </w:tc>
        <w:tc>
          <w:tcPr>
            <w:tcW w:w="2268" w:type="dxa"/>
          </w:tcPr>
          <w:p>
            <w:pPr>
              <w:widowControl/>
              <w:rPr>
                <w:rFonts w:ascii="楷体" w:hAnsi="楷体" w:eastAsia="楷体" w:cs="Tahoma"/>
                <w:color w:val="333333"/>
                <w:kern w:val="0"/>
                <w:sz w:val="21"/>
                <w:szCs w:val="21"/>
              </w:rPr>
            </w:pPr>
            <w:r>
              <w:rPr>
                <w:rFonts w:ascii="Times New Roman" w:hAnsi="Times New Roman" w:eastAsia="楷体" w:cs="Times New Roman"/>
                <w:sz w:val="21"/>
                <w:szCs w:val="21"/>
              </w:rPr>
              <w:t>理论讲授、视频引入、案例分析和课堂讨论相结合，培养学生的破产清算财务管理能力。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tcPr>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中级财务会计</w:t>
            </w: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财务会计</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基础知识</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会计信息作为一种重要的社会资源，承担了普遍的社会责任。通过引入我国会计学家潘序伦的成长史，激发学生的职业责任感,使学生将“立信”作为从业准则，并培育敬业、守业的职业精神，树立正确的人生观和价值观。</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相关依据：《中国人民共和国会计法》、《会计人员职业道德》、</w:t>
            </w:r>
            <w:r>
              <w:rPr>
                <w:rFonts w:ascii="楷体" w:hAnsi="楷体" w:eastAsia="楷体" w:cs="Tahoma"/>
                <w:color w:val="333333"/>
                <w:kern w:val="0"/>
                <w:sz w:val="21"/>
                <w:szCs w:val="21"/>
              </w:rPr>
              <w:t>《</w:t>
            </w:r>
            <w:r>
              <w:rPr>
                <w:rFonts w:hint="eastAsia" w:ascii="楷体" w:hAnsi="楷体" w:eastAsia="楷体" w:cs="Tahoma"/>
                <w:color w:val="333333"/>
                <w:kern w:val="0"/>
                <w:sz w:val="21"/>
                <w:szCs w:val="21"/>
              </w:rPr>
              <w:t>总会计师条例</w:t>
            </w:r>
            <w:r>
              <w:rPr>
                <w:rFonts w:ascii="楷体" w:hAnsi="楷体" w:eastAsia="楷体" w:cs="Tahoma"/>
                <w:color w:val="333333"/>
                <w:kern w:val="0"/>
                <w:sz w:val="21"/>
                <w:szCs w:val="21"/>
              </w:rPr>
              <w:t>》</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慕课、理论讲授。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掌握财务会计的基本理论和基本概念，培养学生具备良好的</w:t>
            </w:r>
            <w:r>
              <w:rPr>
                <w:rFonts w:ascii="楷体" w:hAnsi="楷体" w:eastAsia="楷体" w:cs="Tahoma"/>
                <w:color w:val="333333"/>
                <w:kern w:val="0"/>
                <w:sz w:val="21"/>
                <w:szCs w:val="21"/>
              </w:rPr>
              <w:t>社会职业道德</w:t>
            </w:r>
            <w:r>
              <w:rPr>
                <w:rFonts w:hint="eastAsia" w:ascii="楷体" w:hAnsi="楷体" w:eastAsia="楷体" w:cs="Tahoma"/>
                <w:color w:val="333333"/>
                <w:kern w:val="0"/>
                <w:sz w:val="21"/>
                <w:szCs w:val="21"/>
              </w:rPr>
              <w:t>，为今后解决现实问题打下基础。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反映企业财务状况的会计要素</w:t>
            </w:r>
          </w:p>
          <w:p>
            <w:pPr>
              <w:widowControl/>
              <w:rPr>
                <w:rFonts w:ascii="楷体" w:hAnsi="楷体" w:eastAsia="楷体" w:cs="Tahoma"/>
                <w:color w:val="333333"/>
                <w:kern w:val="0"/>
                <w:sz w:val="21"/>
                <w:szCs w:val="21"/>
              </w:rPr>
            </w:pP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学习货币资金结算方式，可以引入支付宝、支付宝等支付方式，培养国家意识和文化自信。学习自行研发的无形资产，可以融入自主创新观念以及国家对科研创新的鼓励政策，鼓励学生勇于承担创新发展的历史使命与时代责任。学习应交税费，结合明星偷逃税款案件，激发学生的家国情怀和担当意识。所有者权益内容的学习，可以培养学生对于组织的责任感和奉献精神，树立正确的价值观，达到践行教育的初心和使命。</w:t>
            </w:r>
          </w:p>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相关依据：《中国人民共和国会计法》、</w:t>
            </w:r>
            <w:r>
              <w:rPr>
                <w:rFonts w:ascii="楷体" w:hAnsi="楷体" w:eastAsia="楷体" w:cs="Tahoma"/>
                <w:color w:val="333333"/>
                <w:kern w:val="0"/>
                <w:sz w:val="21"/>
                <w:szCs w:val="21"/>
              </w:rPr>
              <w:t>《</w:t>
            </w:r>
            <w:r>
              <w:rPr>
                <w:rFonts w:hint="eastAsia" w:ascii="楷体" w:hAnsi="楷体" w:eastAsia="楷体" w:cs="Tahoma"/>
                <w:color w:val="333333"/>
                <w:kern w:val="0"/>
                <w:sz w:val="21"/>
                <w:szCs w:val="21"/>
              </w:rPr>
              <w:t>企业会计准</w:t>
            </w:r>
            <w:r>
              <w:rPr>
                <w:rFonts w:ascii="楷体" w:hAnsi="楷体" w:eastAsia="楷体" w:cs="Tahoma"/>
                <w:color w:val="333333"/>
                <w:kern w:val="0"/>
                <w:sz w:val="21"/>
                <w:szCs w:val="21"/>
              </w:rPr>
              <w:t>则》</w:t>
            </w:r>
            <w:r>
              <w:rPr>
                <w:rFonts w:hint="eastAsia" w:ascii="楷体" w:hAnsi="楷体" w:eastAsia="楷体" w:cs="Tahoma"/>
                <w:color w:val="333333"/>
                <w:kern w:val="0"/>
                <w:sz w:val="21"/>
                <w:szCs w:val="21"/>
              </w:rPr>
              <w:t>、《会计职业道德八大准则》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慕课、理论讲授。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掌握资产、负债和所有者权益三大要素的会计核算，为后续分析并解决财务问题夯实基础。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反映企业经营成果的会计要素</w:t>
            </w:r>
          </w:p>
        </w:tc>
        <w:tc>
          <w:tcPr>
            <w:tcW w:w="3963" w:type="dxa"/>
          </w:tcPr>
          <w:p>
            <w:pPr>
              <w:jc w:val="left"/>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学习收入内容，可以引入相关会计舞弊案例，培养学生坚持准则、不做假账和诚实守信的会计职业道德。学习费用，以不恰当的职务消费为切入点，宣传党的廉洁自律准则，并引入会计的监督职能。学习利润，可以融入爱岗敬业和提高技能的会计职业道德，培养诚信理念。</w:t>
            </w:r>
          </w:p>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相关依据：《中国人民共和国会计法》、</w:t>
            </w:r>
            <w:r>
              <w:rPr>
                <w:rFonts w:ascii="楷体" w:hAnsi="楷体" w:eastAsia="楷体" w:cs="Tahoma"/>
                <w:color w:val="333333"/>
                <w:kern w:val="0"/>
                <w:sz w:val="21"/>
                <w:szCs w:val="21"/>
              </w:rPr>
              <w:t>《</w:t>
            </w:r>
            <w:r>
              <w:rPr>
                <w:rFonts w:hint="eastAsia" w:ascii="楷体" w:hAnsi="楷体" w:eastAsia="楷体" w:cs="Tahoma"/>
                <w:color w:val="333333"/>
                <w:kern w:val="0"/>
                <w:sz w:val="21"/>
                <w:szCs w:val="21"/>
              </w:rPr>
              <w:t>企业会计准</w:t>
            </w:r>
            <w:r>
              <w:rPr>
                <w:rFonts w:ascii="楷体" w:hAnsi="楷体" w:eastAsia="楷体" w:cs="Tahoma"/>
                <w:color w:val="333333"/>
                <w:kern w:val="0"/>
                <w:sz w:val="21"/>
                <w:szCs w:val="21"/>
              </w:rPr>
              <w:t>则》</w:t>
            </w:r>
            <w:r>
              <w:rPr>
                <w:rFonts w:hint="eastAsia" w:ascii="楷体" w:hAnsi="楷体" w:eastAsia="楷体" w:cs="Tahoma"/>
                <w:color w:val="333333"/>
                <w:kern w:val="0"/>
                <w:sz w:val="21"/>
                <w:szCs w:val="21"/>
              </w:rPr>
              <w:t>、《会计职业道德八大准则》</w:t>
            </w:r>
          </w:p>
        </w:tc>
        <w:tc>
          <w:tcPr>
            <w:tcW w:w="2268" w:type="dxa"/>
          </w:tcPr>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慕课、理论讲授。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掌握收入、费用和利润三大会计要素的会计核算，为后续分析并解决财务问题夯实基础。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vAlign w:val="center"/>
          </w:tcPr>
          <w:p>
            <w:pPr>
              <w:ind w:firstLine="315" w:firstLineChars="150"/>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财务会计报告</w:t>
            </w:r>
          </w:p>
        </w:tc>
        <w:tc>
          <w:tcPr>
            <w:tcW w:w="3963" w:type="dxa"/>
          </w:tcPr>
          <w:p>
            <w:pPr>
              <w:jc w:val="left"/>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思政映射点：通过学习，培养出具有奉公守法、认真严谨、依法理财、勤俭节约、能保守商业秘密的，具有优秀职业道德水准和高度责任感的财经专业人才。</w:t>
            </w:r>
          </w:p>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相关依据：《中国人民共和国会计法》、</w:t>
            </w:r>
            <w:r>
              <w:rPr>
                <w:rFonts w:ascii="楷体" w:hAnsi="楷体" w:eastAsia="楷体" w:cs="Tahoma"/>
                <w:color w:val="333333"/>
                <w:kern w:val="0"/>
                <w:sz w:val="21"/>
                <w:szCs w:val="21"/>
              </w:rPr>
              <w:t>《</w:t>
            </w:r>
            <w:r>
              <w:rPr>
                <w:rFonts w:hint="eastAsia" w:ascii="楷体" w:hAnsi="楷体" w:eastAsia="楷体" w:cs="Tahoma"/>
                <w:color w:val="333333"/>
                <w:kern w:val="0"/>
                <w:sz w:val="21"/>
                <w:szCs w:val="21"/>
              </w:rPr>
              <w:t>企业会计准</w:t>
            </w:r>
            <w:r>
              <w:rPr>
                <w:rFonts w:ascii="楷体" w:hAnsi="楷体" w:eastAsia="楷体" w:cs="Tahoma"/>
                <w:color w:val="333333"/>
                <w:kern w:val="0"/>
                <w:sz w:val="21"/>
                <w:szCs w:val="21"/>
              </w:rPr>
              <w:t>则》</w:t>
            </w:r>
            <w:r>
              <w:rPr>
                <w:rFonts w:hint="eastAsia" w:ascii="楷体" w:hAnsi="楷体" w:eastAsia="楷体" w:cs="Tahoma"/>
                <w:color w:val="333333"/>
                <w:kern w:val="0"/>
                <w:sz w:val="21"/>
                <w:szCs w:val="21"/>
              </w:rPr>
              <w:t>、《会计职业道德八大准则》</w:t>
            </w:r>
          </w:p>
        </w:tc>
        <w:tc>
          <w:tcPr>
            <w:tcW w:w="2268" w:type="dxa"/>
          </w:tcPr>
          <w:p>
            <w:pPr>
              <w:rPr>
                <w:rFonts w:ascii="楷体" w:hAnsi="楷体" w:eastAsia="楷体" w:cs="Tahoma"/>
                <w:color w:val="333333"/>
                <w:kern w:val="0"/>
                <w:sz w:val="21"/>
                <w:szCs w:val="21"/>
              </w:rPr>
            </w:pPr>
            <w:r>
              <w:rPr>
                <w:rFonts w:hint="eastAsia" w:ascii="楷体" w:hAnsi="楷体" w:eastAsia="楷体" w:cs="Tahoma"/>
                <w:color w:val="333333"/>
                <w:kern w:val="0"/>
                <w:sz w:val="21"/>
                <w:szCs w:val="21"/>
              </w:rPr>
              <w:t>慕课、理论讲授。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掌握财务报告编制原理，拥有扎实的财务分析和财务管理的实践技能。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vAlign w:val="center"/>
          </w:tcPr>
          <w:p>
            <w:pPr>
              <w:ind w:firstLine="315" w:firstLineChars="150"/>
              <w:rPr>
                <w:rFonts w:ascii="楷体" w:hAnsi="楷体" w:eastAsia="楷体" w:cs="Tahoma"/>
                <w:color w:val="333333"/>
                <w:kern w:val="0"/>
                <w:sz w:val="21"/>
                <w:szCs w:val="21"/>
              </w:rPr>
            </w:pPr>
            <w:r>
              <w:rPr>
                <w:rFonts w:hint="eastAsia" w:ascii="楷体" w:hAnsi="楷体" w:eastAsia="楷体" w:cs="Tahoma"/>
                <w:color w:val="333333"/>
                <w:kern w:val="0"/>
                <w:sz w:val="21"/>
                <w:szCs w:val="21"/>
              </w:rPr>
              <w:t>税法</w:t>
            </w: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jc w:val="center"/>
              <w:rPr>
                <w:rFonts w:ascii="楷体" w:hAnsi="楷体" w:eastAsia="楷体" w:cs="Tahoma"/>
                <w:color w:val="333333"/>
                <w:kern w:val="0"/>
                <w:sz w:val="21"/>
                <w:szCs w:val="21"/>
              </w:rPr>
            </w:pPr>
          </w:p>
          <w:p>
            <w:pPr>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税法导论</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1、通过财务管理各个环节中的涉税业务，强化学生税收意识，培养学生具备坚定正确的政治方向、爱国情怀和制度自信。通过融入思政理念的案例，让学生切身体会到国家、税收、公司发展和纳税是紧密相连的，认识税收“取之于民用之于民”的政策逻辑；通过视频、案例等引入树立制度自信，充分意识到税收强国的原理。</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结合上市公司的社会责任分析的案例，培养学生今后无论是在企业的财务管理还是在普通纳税人的角色上，都具有高度的社会责任感和依法纳税的意识，将个人和企业的纳税行为与国家的繁荣富强进行紧密联系。培养学生具有高度的社会责任感。</w:t>
            </w:r>
          </w:p>
          <w:p>
            <w:pPr>
              <w:pStyle w:val="12"/>
              <w:ind w:firstLine="0" w:firstLineChars="0"/>
              <w:rPr>
                <w:rFonts w:ascii="楷体" w:hAnsi="楷体" w:eastAsia="楷体" w:cs="Tahoma"/>
                <w:color w:val="333333"/>
                <w:kern w:val="0"/>
                <w:sz w:val="21"/>
                <w:szCs w:val="21"/>
              </w:rPr>
            </w:pPr>
            <w:r>
              <w:rPr>
                <w:rFonts w:hint="eastAsia" w:ascii="楷体" w:hAnsi="楷体" w:eastAsia="楷体" w:cs="Tahoma"/>
                <w:color w:val="333333"/>
                <w:kern w:val="0"/>
                <w:sz w:val="21"/>
                <w:szCs w:val="21"/>
              </w:rPr>
              <w:t>3、培养学生成为职业道德的恪守者。在财务管理各个环节，严格遵守税收法规，“懂税法、有税德”，自觉维护税务政策，成为职业道德的恪守者。</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相关依据：《中华人民共和国会计法》、《中华人民共和国税收征管法》、《会计职业道德规范》</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理论讲授、视频引入、财管涉税案例阅读。</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掌握税法概念特征、了解我国税收制度及其改革历程，具备财务管理过程中 自觉维护税收法规、具备合规处理税法的意识，形成合法合规、诚实守信的职业道德。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增值税法</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1、通过对我国近几十年来的经济发展与增值税制度改革的介绍，重点引导学生关注增值税金税工程与企业财务管理的关系，理解相关的政策，加强职业使命感和责任感，形成政策认同，自觉维护执行税收政策。</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2、通过对增值税两类纳税人划分标准的变迁过程的分析和理解，感受税收政策对小微企业的扶持，理解政策扶持在小规模纳税人成长中的积极作用。</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3、通过增值税改革以及“营改增”政策的解读，理解政策制定背后的价值取向，形成个人、企业命运与祖国命运休戚相关的认识，自觉维护、执行好相关制度，培养民族自信和制度自信。</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相关依据：《中华人民共和国增值税暂行条例》、《中华人民共和国小微企业促进法》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通过视频资料、案例分析和讲解讨论开展内容。</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充分理解财务管理各环节中税收规定，通过政策的分析和案例的讲解形成政策理解和认同。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消费税法</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思政映射点：1、理解消费税的“绿色税收”性质，通过对消费税的征税范围的变迁的解读，了解消费税征税对象的选择性，对于消费税的生态、绿色税收属性有基本的认识。</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2、培养良好的消费观、价值观。结合课程内容，要求反思自己的消费观、价值观，通过对内容的正反例证，引导学生养成注重环保、节约资源、低碳生活的理念。</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相关依据：《中华人民共和国消费税法》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通过视频资料、案例分析和讲解讨论开展内容。从部分应税消费品对资源的消耗和环境的影响，强化资源节约和环境保护意识。</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通过消费税征收范围和性质的解读，培育正确的消费观、价值观。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企业所得税法</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思政映射点：1、通过企业所得税税率的学习，理解企业所得税公平与效率兼顾、鼓励高新技术企业、支持小微企业发展的政策取向。</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2、通过免税收入项目的理解，了解非营利组织及运行状况，思考在不同阶段个人和企业应该承担的社会责任。</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3、通过企业所得税对研发投入的优惠，理解政策的重视研发、鼓励创新导向，结合个人，注重眼前利益和长远利益的平衡。</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4、通过对企业残疾员工薪酬的加计扣除，理解税收政策对残疾人员的就业扶持和关怀，养成在日常生活中关爱残障人士、力所能及帮助他人的观念。</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5、通过所得税税收优惠政策：基础设施、环保、安全生产、节能节水、创投、小微企业等各方面的学习，理解税收政策体现量能负担和环保、低碳取向的税收优惠体系，在生活和工作中具备这些方面的基本理念。</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相关依据：《中华人民共和国企业所得税法》、《中华人民共和国小微企业促进法》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通过讲解、实操练习、课堂辩论等方式开展内容的学习，培养学生对科技强国政策与理念认同、创新创业的理念认同与政策维护，能关注社会弱势群体。</w:t>
            </w:r>
          </w:p>
          <w:p>
            <w:pPr>
              <w:widowControl/>
              <w:rPr>
                <w:rFonts w:ascii="楷体" w:hAnsi="楷体" w:eastAsia="楷体" w:cs="Tahoma"/>
                <w:color w:val="333333"/>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个人所得税法</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思政映射点：1.了解和熟悉股利分配环节相关个税政策，结合税收优惠了解国家对长期投资的股利；</w:t>
            </w:r>
          </w:p>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2</w:t>
            </w:r>
            <w:r>
              <w:rPr>
                <w:rFonts w:hint="eastAsia" w:ascii="楷体" w:hAnsi="楷体" w:eastAsia="楷体" w:cs="Tahoma"/>
                <w:color w:val="333333"/>
                <w:kern w:val="0"/>
                <w:sz w:val="21"/>
                <w:szCs w:val="21"/>
              </w:rPr>
              <w:t>、通过对个人所得税费用扣除项目的变迁学习和了解，理解税收政策的优化，国家对于个人负担的关注，养成自觉纳税、纳税光荣的意识。</w:t>
            </w:r>
          </w:p>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3</w:t>
            </w:r>
            <w:r>
              <w:rPr>
                <w:rFonts w:hint="eastAsia" w:ascii="楷体" w:hAnsi="楷体" w:eastAsia="楷体" w:cs="Tahoma"/>
                <w:color w:val="333333"/>
                <w:kern w:val="0"/>
                <w:sz w:val="21"/>
                <w:szCs w:val="21"/>
              </w:rPr>
              <w:t>、通过对个人所得税改革历程的解读，见证国民收入的增长，树立制度自信，激发爱国情怀。</w:t>
            </w:r>
          </w:p>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4</w:t>
            </w:r>
            <w:r>
              <w:rPr>
                <w:rFonts w:hint="eastAsia" w:ascii="楷体" w:hAnsi="楷体" w:eastAsia="楷体" w:cs="Tahoma"/>
                <w:color w:val="333333"/>
                <w:kern w:val="0"/>
                <w:sz w:val="21"/>
                <w:szCs w:val="21"/>
              </w:rPr>
              <w:t>、个人所得税的税收优惠体系，了解国家对于见义勇为、高层次科学教育文化奖励项目等的优惠，树立正确的荣誉观，不懈努力在不同岗位上做出自己的成就。</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相关依据：《中华人民共和国个人所得税法》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通过个税改革历史的解读，部分纳税案例的引入，掌握内容，提高缴纳个人所得税的自觉性。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关税法</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思政映射点：1、理解进口材料中关税对成本影响，比较重大采购中国产原料及进口材料的成本。</w:t>
            </w:r>
          </w:p>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2</w:t>
            </w:r>
            <w:r>
              <w:rPr>
                <w:rFonts w:hint="eastAsia" w:ascii="楷体" w:hAnsi="楷体" w:eastAsia="楷体" w:cs="Tahoma"/>
                <w:color w:val="333333"/>
                <w:kern w:val="0"/>
                <w:sz w:val="21"/>
                <w:szCs w:val="21"/>
              </w:rPr>
              <w:t>、通过对关税的性质的理解和关税税率变化理解关税的国家外交属性，树立正确的消费观，对进口产品不盲目追捧，具备基本的判断能力和品位。</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相关依据：《中华人民共和国关税法》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课堂讲解和课下研讨结合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通过数据理解税收政策中对国产产品的支持。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成本</w:t>
            </w:r>
            <w:r>
              <w:rPr>
                <w:rFonts w:hint="eastAsia" w:ascii="楷体" w:hAnsi="楷体" w:eastAsia="楷体" w:cs="Tahoma"/>
                <w:color w:val="333333"/>
                <w:kern w:val="0"/>
                <w:sz w:val="21"/>
                <w:szCs w:val="21"/>
              </w:rPr>
              <w:t>管理会计</w:t>
            </w: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成本管理会计概述</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思政映射点：成本</w:t>
            </w:r>
            <w:r>
              <w:rPr>
                <w:rFonts w:ascii="楷体" w:hAnsi="楷体" w:eastAsia="楷体" w:cs="Tahoma"/>
                <w:color w:val="333333"/>
                <w:kern w:val="0"/>
                <w:sz w:val="21"/>
                <w:szCs w:val="21"/>
              </w:rPr>
              <w:t>管理会计</w:t>
            </w:r>
            <w:r>
              <w:rPr>
                <w:rFonts w:hint="eastAsia" w:ascii="楷体" w:hAnsi="楷体" w:eastAsia="楷体" w:cs="Tahoma"/>
                <w:color w:val="333333"/>
                <w:kern w:val="0"/>
                <w:sz w:val="21"/>
                <w:szCs w:val="21"/>
              </w:rPr>
              <w:t>以财务会计提供的信息为基础，通过对相关信息的加工与处理，为企业内部经营管理者提供管理方与决策有用信息。在传授专业知识的同时，授课教师应通过讲解职业发展，培养学生遵守职业道德和社会规范，激发学生的社会责任和职业担当。</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相关依据：《会计法》、《关于全面推进管理会计体系建设的指导意见》</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线上视频+线下讲授。掌握成本管理会计基本理论和基本概念，为以后各章的学习打好基础。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费用要素的归集与分配</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掌握制造业成本会计核算的一般流程及具体要求。明确直接材料、直接人工、辅助生产费用、制造费用的归集与分配。授课教师介绍我国制造业供给侧改革的侧重点，引导学生知晓制造业未来发展应转向降成本、补短板，重点在于过剩产能的不断消化、工业结构的调整优化。</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相关依据：《中华人民共和国会计法》《企业产品成本核算制度》</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线上视频+线下讲授+实训操作。掌握料、工、费的归集与分配，以及完工产品的计算步骤与程序。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产品成本核算方法的选择</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思政映射点：明确不同的行业、不同企业应选择不同的成本核算方法，要求学生熟练掌握品种法、分批法及分步法的计算程序、并能精准核算各种产品成本。授课中应强调强调</w:t>
            </w:r>
            <w:r>
              <w:rPr>
                <w:rFonts w:ascii="楷体" w:hAnsi="楷体" w:eastAsia="楷体" w:cs="Tahoma"/>
                <w:color w:val="333333"/>
                <w:kern w:val="0"/>
                <w:sz w:val="21"/>
                <w:szCs w:val="21"/>
              </w:rPr>
              <w:t>中国特色，深刻认识和准确把握外部环境变化对我国制造业的影响与挑战。知晓我国企业要补技术创新的短板，补高新技术产业和新兴战略性产业的短板，补服务业的短板，才能实现中华名族伟大复兴的中国梦。</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相关依据：《中华人民共和国会计法》《企业产品成本核算制度》</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线上视频+线下讲授+实训操作。针对不同的行业、不同的企业，分别掌握产品品种法、分批法、分步法的计算流程及具体应用。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成本性态与变动成本法</w:t>
            </w:r>
          </w:p>
          <w:p>
            <w:pPr>
              <w:widowControl/>
              <w:rPr>
                <w:rFonts w:ascii="楷体" w:hAnsi="楷体" w:eastAsia="楷体" w:cs="Tahoma"/>
                <w:color w:val="333333"/>
                <w:kern w:val="0"/>
                <w:sz w:val="21"/>
                <w:szCs w:val="21"/>
              </w:rPr>
            </w:pP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思政映射点：完全成本法与变动成本法应用于不同的场合，引导学生知晓国家政策“去库存”中蕴含了管理会计思维，从两种成本法税前利润差异原因解释国家“去库存”，“产业结构调整”的深远意义。</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相关依据：《企业产品成本核算制度》、《管理会计基本指引》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线上视频+线下讲授+案例讨论。掌握成本性态的分类；完全成本法与变动成本法的区别及联合运用。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本量利分析</w:t>
            </w:r>
          </w:p>
          <w:p>
            <w:pPr>
              <w:widowControl/>
              <w:rPr>
                <w:rFonts w:ascii="楷体" w:hAnsi="楷体" w:eastAsia="楷体" w:cs="Tahoma"/>
                <w:color w:val="333333"/>
                <w:kern w:val="0"/>
                <w:sz w:val="21"/>
                <w:szCs w:val="21"/>
              </w:rPr>
            </w:pP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思政映射点：本量利分析是企业生产经营决策的基本知识，通过“以价换量”拼团模式的案例讲解本量利的关系，鼓励学生利用专业知识进行创新创业，深入社会实践、关注现实问题。</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相关依据：《企业产品成本核算制度》、《管理会计基本指引》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线上视频+线下讲授+案例讨论。掌握本量利分析的基本模型和基本指标，掌握盈亏平衡基本分析和基本指标及其敏感分析。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生产经营决策</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思政映射点：生产经营决策是成本管理会计的核心内容之一，通过讲授生产决策、定价决策、存货决策，引导学生重塑社会主义现代化国家的建设目标，明确制造业应适应</w:t>
            </w:r>
            <w:r>
              <w:rPr>
                <w:sz w:val="21"/>
                <w:szCs w:val="21"/>
              </w:rPr>
              <w:fldChar w:fldCharType="begin"/>
            </w:r>
            <w:r>
              <w:rPr>
                <w:sz w:val="21"/>
                <w:szCs w:val="21"/>
              </w:rPr>
              <w:instrText xml:space="preserve"> HYPERLINK "https://baike.baidu.com/item/%E9%9C%80%E6%B1%82%E7%BB%93%E6%9E%84/2764116" \t "https://baike.baidu.com/item/%E4%B8%AD%E5%9B%BD%E6%99%BA%E9%80%A0/_blank" </w:instrText>
            </w:r>
            <w:r>
              <w:rPr>
                <w:sz w:val="21"/>
                <w:szCs w:val="21"/>
              </w:rPr>
              <w:fldChar w:fldCharType="separate"/>
            </w:r>
            <w:r>
              <w:rPr>
                <w:rFonts w:ascii="楷体" w:hAnsi="楷体" w:eastAsia="楷体" w:cs="Tahoma"/>
                <w:color w:val="333333"/>
                <w:kern w:val="0"/>
                <w:sz w:val="21"/>
                <w:szCs w:val="21"/>
              </w:rPr>
              <w:t>需求结构</w:t>
            </w:r>
            <w:r>
              <w:rPr>
                <w:rFonts w:ascii="楷体" w:hAnsi="楷体" w:eastAsia="楷体" w:cs="Tahoma"/>
                <w:color w:val="333333"/>
                <w:kern w:val="0"/>
                <w:sz w:val="21"/>
                <w:szCs w:val="21"/>
              </w:rPr>
              <w:fldChar w:fldCharType="end"/>
            </w:r>
            <w:r>
              <w:rPr>
                <w:rFonts w:ascii="楷体" w:hAnsi="楷体" w:eastAsia="楷体" w:cs="Tahoma"/>
                <w:color w:val="333333"/>
                <w:kern w:val="0"/>
                <w:sz w:val="21"/>
                <w:szCs w:val="21"/>
              </w:rPr>
              <w:t>变化趋势，完善现代</w:t>
            </w:r>
            <w:r>
              <w:rPr>
                <w:sz w:val="21"/>
                <w:szCs w:val="21"/>
              </w:rPr>
              <w:fldChar w:fldCharType="begin"/>
            </w:r>
            <w:r>
              <w:rPr>
                <w:sz w:val="21"/>
                <w:szCs w:val="21"/>
              </w:rPr>
              <w:instrText xml:space="preserve"> HYPERLINK "https://baike.baidu.com/item/%E4%BA%A7%E4%B8%9A" \t "https://baike.baidu.com/item/%E4%B8%AD%E5%9B%BD%E6%99%BA%E9%80%A0/_blank" </w:instrText>
            </w:r>
            <w:r>
              <w:rPr>
                <w:sz w:val="21"/>
                <w:szCs w:val="21"/>
              </w:rPr>
              <w:fldChar w:fldCharType="separate"/>
            </w:r>
            <w:r>
              <w:rPr>
                <w:rFonts w:ascii="楷体" w:hAnsi="楷体" w:eastAsia="楷体" w:cs="Tahoma"/>
                <w:color w:val="333333"/>
                <w:kern w:val="0"/>
                <w:sz w:val="21"/>
                <w:szCs w:val="21"/>
              </w:rPr>
              <w:t>产业</w:t>
            </w:r>
            <w:r>
              <w:rPr>
                <w:rFonts w:ascii="楷体" w:hAnsi="楷体" w:eastAsia="楷体" w:cs="Tahoma"/>
                <w:color w:val="333333"/>
                <w:kern w:val="0"/>
                <w:sz w:val="21"/>
                <w:szCs w:val="21"/>
              </w:rPr>
              <w:fldChar w:fldCharType="end"/>
            </w:r>
            <w:r>
              <w:rPr>
                <w:rFonts w:ascii="楷体" w:hAnsi="楷体" w:eastAsia="楷体" w:cs="Tahoma"/>
                <w:color w:val="333333"/>
                <w:kern w:val="0"/>
                <w:sz w:val="21"/>
                <w:szCs w:val="21"/>
              </w:rPr>
              <w:t>体系，积极推进传统产业技术改造，加快发展</w:t>
            </w:r>
            <w:r>
              <w:rPr>
                <w:sz w:val="21"/>
                <w:szCs w:val="21"/>
              </w:rPr>
              <w:fldChar w:fldCharType="begin"/>
            </w:r>
            <w:r>
              <w:rPr>
                <w:sz w:val="21"/>
                <w:szCs w:val="21"/>
              </w:rPr>
              <w:instrText xml:space="preserve"> HYPERLINK "https://baike.baidu.com/item/%E6%88%98%E7%95%A5%E6%80%A7%E6%96%B0%E5%85%B4%E4%BA%A7%E4%B8%9A/10333409" \t "https://baike.baidu.com/item/%E4%B8%AD%E5%9B%BD%E6%99%BA%E9%80%A0/_blank" </w:instrText>
            </w:r>
            <w:r>
              <w:rPr>
                <w:sz w:val="21"/>
                <w:szCs w:val="21"/>
              </w:rPr>
              <w:fldChar w:fldCharType="separate"/>
            </w:r>
            <w:r>
              <w:rPr>
                <w:rFonts w:ascii="楷体" w:hAnsi="楷体" w:eastAsia="楷体" w:cs="Tahoma"/>
                <w:color w:val="333333"/>
                <w:kern w:val="0"/>
                <w:sz w:val="21"/>
                <w:szCs w:val="21"/>
              </w:rPr>
              <w:t>战略性新兴产业</w:t>
            </w:r>
            <w:r>
              <w:rPr>
                <w:rFonts w:ascii="楷体" w:hAnsi="楷体" w:eastAsia="楷体" w:cs="Tahoma"/>
                <w:color w:val="333333"/>
                <w:kern w:val="0"/>
                <w:sz w:val="21"/>
                <w:szCs w:val="21"/>
              </w:rPr>
              <w:fldChar w:fldCharType="end"/>
            </w:r>
            <w:r>
              <w:rPr>
                <w:rFonts w:ascii="楷体" w:hAnsi="楷体" w:eastAsia="楷体" w:cs="Tahoma"/>
                <w:color w:val="333333"/>
                <w:kern w:val="0"/>
                <w:sz w:val="21"/>
                <w:szCs w:val="21"/>
              </w:rPr>
              <w:t>，提升中国“智造”水平，全面提升产业</w:t>
            </w:r>
            <w:r>
              <w:rPr>
                <w:sz w:val="21"/>
                <w:szCs w:val="21"/>
              </w:rPr>
              <w:fldChar w:fldCharType="begin"/>
            </w:r>
            <w:r>
              <w:rPr>
                <w:sz w:val="21"/>
                <w:szCs w:val="21"/>
              </w:rPr>
              <w:instrText xml:space="preserve"> HYPERLINK "https://baike.baidu.com/item/%E6%8A%80%E6%9C%AF/832247" \t "https://baike.baidu.com/item/%E4%B8%AD%E5%9B%BD%E6%99%BA%E9%80%A0/_blank" </w:instrText>
            </w:r>
            <w:r>
              <w:rPr>
                <w:sz w:val="21"/>
                <w:szCs w:val="21"/>
              </w:rPr>
              <w:fldChar w:fldCharType="separate"/>
            </w:r>
            <w:r>
              <w:rPr>
                <w:rFonts w:ascii="楷体" w:hAnsi="楷体" w:eastAsia="楷体" w:cs="Tahoma"/>
                <w:color w:val="333333"/>
                <w:kern w:val="0"/>
                <w:sz w:val="21"/>
                <w:szCs w:val="21"/>
              </w:rPr>
              <w:t>技术</w:t>
            </w:r>
            <w:r>
              <w:rPr>
                <w:rFonts w:ascii="楷体" w:hAnsi="楷体" w:eastAsia="楷体" w:cs="Tahoma"/>
                <w:color w:val="333333"/>
                <w:kern w:val="0"/>
                <w:sz w:val="21"/>
                <w:szCs w:val="21"/>
              </w:rPr>
              <w:fldChar w:fldCharType="end"/>
            </w:r>
            <w:r>
              <w:rPr>
                <w:rFonts w:ascii="楷体" w:hAnsi="楷体" w:eastAsia="楷体" w:cs="Tahoma"/>
                <w:color w:val="333333"/>
                <w:kern w:val="0"/>
                <w:sz w:val="21"/>
                <w:szCs w:val="21"/>
              </w:rPr>
              <w:t>水平和国际竞争力</w:t>
            </w:r>
            <w:r>
              <w:rPr>
                <w:rFonts w:hint="eastAsia" w:ascii="楷体" w:hAnsi="楷体" w:eastAsia="楷体" w:cs="Tahoma"/>
                <w:color w:val="333333"/>
                <w:kern w:val="0"/>
                <w:sz w:val="21"/>
                <w:szCs w:val="21"/>
              </w:rPr>
              <w:t>。</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相关依据：《关于全面推进管理会计体系建设的指导意见》、《管理会计基本指引》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线上视频+线下讲授+案例讨论。掌握生产决策、定价决策、存货决策的方法及决策模型。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作业成本管理</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作业成本管理是一种先进的成本管理方法，其目的是利于改善内部管理、利于企业资源的优化配置、利于企业实施战略规划。引导学生取其精华，去其糟粕，结合我国国情强化工业基础能力，结合我国特色社会主义发展道路，采用先进的成本管理思想，精准推进信息化与工业化深度融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相关依据：《会计法》、《管理会计基本指引》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线上视频+线下讲授。掌握作业成本法的理念及核算流程。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预算管理</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预算编制的合理性、准确性和有效性，能促进企业的发展战略要求。全面预算的编制，能够体现管理会计人员的职业胜任能力与参与管理决策的能力，引导学生明确我国制造业未来发展目标，从制造业大国向制造业强国转变，大力发展先进制造业，改造提升传统产业，以此促进学生增强民族自豪感与使命感。</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相关依据：《关于企业实行财务预算管理的指导意见》</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线上视频+线下讲授+案例讨论。掌握全面预算的编制方法。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业绩评价</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思政映射点：科学地评价企业业绩，可以有效地加强对</w:t>
            </w:r>
            <w:r>
              <w:rPr>
                <w:sz w:val="21"/>
                <w:szCs w:val="21"/>
              </w:rPr>
              <w:fldChar w:fldCharType="begin"/>
            </w:r>
            <w:r>
              <w:rPr>
                <w:sz w:val="21"/>
                <w:szCs w:val="21"/>
              </w:rPr>
              <w:instrText xml:space="preserve"> HYPERLINK "https://baike.baidu.com/item/%E4%BC%81%E4%B8%9A%E7%BB%8F%E8%90%A5%E8%80%85" \t "https://baike.baidu.com/item/%E4%B8%9A%E7%BB%A9%E8%AF%84%E4%BB%B7/_blank" </w:instrText>
            </w:r>
            <w:r>
              <w:rPr>
                <w:sz w:val="21"/>
                <w:szCs w:val="21"/>
              </w:rPr>
              <w:fldChar w:fldCharType="separate"/>
            </w:r>
            <w:r>
              <w:rPr>
                <w:rFonts w:ascii="楷体" w:hAnsi="楷体" w:eastAsia="楷体" w:cs="Tahoma"/>
                <w:color w:val="333333"/>
                <w:kern w:val="0"/>
                <w:sz w:val="21"/>
                <w:szCs w:val="21"/>
              </w:rPr>
              <w:t>企业经营者</w:t>
            </w:r>
            <w:r>
              <w:rPr>
                <w:rFonts w:ascii="楷体" w:hAnsi="楷体" w:eastAsia="楷体" w:cs="Tahoma"/>
                <w:color w:val="333333"/>
                <w:kern w:val="0"/>
                <w:sz w:val="21"/>
                <w:szCs w:val="21"/>
              </w:rPr>
              <w:fldChar w:fldCharType="end"/>
            </w:r>
            <w:r>
              <w:rPr>
                <w:rFonts w:ascii="楷体" w:hAnsi="楷体" w:eastAsia="楷体" w:cs="Tahoma"/>
                <w:color w:val="333333"/>
                <w:kern w:val="0"/>
                <w:sz w:val="21"/>
                <w:szCs w:val="21"/>
              </w:rPr>
              <w:t>的监管和约束；可以为</w:t>
            </w:r>
            <w:r>
              <w:rPr>
                <w:sz w:val="21"/>
                <w:szCs w:val="21"/>
              </w:rPr>
              <w:fldChar w:fldCharType="begin"/>
            </w:r>
            <w:r>
              <w:rPr>
                <w:sz w:val="21"/>
                <w:szCs w:val="21"/>
              </w:rPr>
              <w:instrText xml:space="preserve"> HYPERLINK "https://baike.baidu.com/item/%E6%9C%89%E6%95%88%E6%BF%80%E5%8A%B1/5106186" \t "https://baike.baidu.com/item/%E4%B8%9A%E7%BB%A9%E8%AF%84%E4%BB%B7/_blank" </w:instrText>
            </w:r>
            <w:r>
              <w:rPr>
                <w:sz w:val="21"/>
                <w:szCs w:val="21"/>
              </w:rPr>
              <w:fldChar w:fldCharType="separate"/>
            </w:r>
            <w:r>
              <w:rPr>
                <w:rFonts w:ascii="楷体" w:hAnsi="楷体" w:eastAsia="楷体" w:cs="Tahoma"/>
                <w:color w:val="333333"/>
                <w:kern w:val="0"/>
                <w:sz w:val="21"/>
                <w:szCs w:val="21"/>
              </w:rPr>
              <w:t>有效激励</w:t>
            </w:r>
            <w:r>
              <w:rPr>
                <w:rFonts w:ascii="楷体" w:hAnsi="楷体" w:eastAsia="楷体" w:cs="Tahoma"/>
                <w:color w:val="333333"/>
                <w:kern w:val="0"/>
                <w:sz w:val="21"/>
                <w:szCs w:val="21"/>
              </w:rPr>
              <w:fldChar w:fldCharType="end"/>
            </w:r>
            <w:r>
              <w:rPr>
                <w:rFonts w:ascii="楷体" w:hAnsi="楷体" w:eastAsia="楷体" w:cs="Tahoma"/>
                <w:color w:val="333333"/>
                <w:kern w:val="0"/>
                <w:sz w:val="21"/>
                <w:szCs w:val="21"/>
              </w:rPr>
              <w:t>企业经营者提供可靠依据</w:t>
            </w:r>
            <w:r>
              <w:rPr>
                <w:rFonts w:hint="eastAsia" w:ascii="楷体" w:hAnsi="楷体" w:eastAsia="楷体" w:cs="Tahoma"/>
                <w:color w:val="333333"/>
                <w:kern w:val="0"/>
                <w:sz w:val="21"/>
                <w:szCs w:val="21"/>
              </w:rPr>
              <w:t>。引导学生立足于中国特色的基本国情，承担起新时代发展下的中国会计担当精神，包括敬业、精益、专注、创新等方面。</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相关依据：《会计法》、《企业会计准则》、《管理会计基本指引》</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线上视频+线下讲授。掌握责任中心的类型，了解企业业绩评价系统及关键业绩评价指标。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 w:hRule="atLeast"/>
        </w:trPr>
        <w:tc>
          <w:tcPr>
            <w:tcW w:w="1101" w:type="dxa"/>
            <w:vMerge w:val="restart"/>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会计信息系统</w:t>
            </w: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会计信息系统概述</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 xml:space="preserve"> </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1、</w:t>
            </w:r>
            <w:r>
              <w:rPr>
                <w:rFonts w:ascii="楷体" w:hAnsi="楷体" w:eastAsia="楷体" w:cs="Tahoma"/>
                <w:color w:val="333333"/>
                <w:kern w:val="0"/>
                <w:sz w:val="21"/>
                <w:szCs w:val="21"/>
              </w:rPr>
              <w:t>通过讲授会计信息系统的</w:t>
            </w:r>
            <w:r>
              <w:rPr>
                <w:rFonts w:hint="eastAsia" w:ascii="楷体" w:hAnsi="楷体" w:eastAsia="楷体" w:cs="Tahoma"/>
                <w:color w:val="333333"/>
                <w:kern w:val="0"/>
                <w:sz w:val="21"/>
                <w:szCs w:val="21"/>
              </w:rPr>
              <w:t>发展内容映射</w:t>
            </w:r>
            <w:r>
              <w:rPr>
                <w:rFonts w:ascii="楷体" w:hAnsi="楷体" w:eastAsia="楷体" w:cs="Tahoma"/>
                <w:color w:val="333333"/>
                <w:kern w:val="0"/>
                <w:sz w:val="21"/>
                <w:szCs w:val="21"/>
              </w:rPr>
              <w:t>中国制造</w:t>
            </w:r>
            <w:r>
              <w:rPr>
                <w:rFonts w:hint="eastAsia" w:ascii="楷体" w:hAnsi="楷体" w:eastAsia="楷体" w:cs="Tahoma"/>
                <w:color w:val="333333"/>
                <w:kern w:val="0"/>
                <w:sz w:val="21"/>
                <w:szCs w:val="21"/>
              </w:rPr>
              <w:t>2025国家战略的思政元素，帮助学生厚植爱国情怀，激发民族自豪感；</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2、通过讲授制造企业数字化转型之路的内容映射要用发展的眼光看待科技的发展的思政元素，培养学生树立终身学习的意识，强化行业自信，识别未来技术挑战。</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3、通过讲授新一代会计信息化的内容映射科技进步对会计业务处理带来的变革的思政元素，培养学生创新、创业的思想。</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w:t>
            </w:r>
            <w:r>
              <w:rPr>
                <w:rFonts w:ascii="楷体" w:hAnsi="楷体" w:eastAsia="楷体" w:cs="Tahoma"/>
                <w:color w:val="333333"/>
                <w:kern w:val="0"/>
                <w:sz w:val="21"/>
                <w:szCs w:val="21"/>
              </w:rPr>
              <w:t>《中国制度面对面—理论热点面对面2020》、《新征程面对面—理论热点面对面2021》</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理论讲授，视频引入</w:t>
            </w:r>
            <w:r>
              <w:rPr>
                <w:rFonts w:hint="eastAsia" w:ascii="楷体" w:hAnsi="楷体" w:eastAsia="楷体" w:cs="Tahoma"/>
                <w:color w:val="333333"/>
                <w:kern w:val="0"/>
                <w:sz w:val="21"/>
                <w:szCs w:val="21"/>
              </w:rPr>
              <w:t>、</w:t>
            </w:r>
            <w:r>
              <w:rPr>
                <w:rFonts w:ascii="楷体" w:hAnsi="楷体" w:eastAsia="楷体" w:cs="Tahoma"/>
                <w:color w:val="333333"/>
                <w:kern w:val="0"/>
                <w:sz w:val="21"/>
                <w:szCs w:val="21"/>
              </w:rPr>
              <w:t>案例学习。通过学习</w:t>
            </w:r>
            <w:r>
              <w:rPr>
                <w:rFonts w:hint="eastAsia" w:ascii="楷体" w:hAnsi="楷体" w:eastAsia="楷体" w:cs="Tahoma"/>
                <w:color w:val="333333"/>
                <w:kern w:val="0"/>
                <w:sz w:val="21"/>
                <w:szCs w:val="21"/>
              </w:rPr>
              <w:t>了解会计信息系统的概念、特点、发展，了解会计信息系统的实施及运行管理，了解管理信息系统的新发展，明确会计信息系统的分类，掌握会计信息系统与手工会计核算的区别，掌握会计信息系统的功能结构及应用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 w:hRule="atLeast"/>
        </w:trPr>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系统管理与基础设置</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1、通过讲授账套数据安全策略内容，映射信息安全与国家安全的思政元素；</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2、通过讲授信息系统的用户与权限映射各司其职，相互牵制的思政元素。</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相关依据：《企业会计信息化工作规范》《会计人员职业道德》、</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理论讲授，案例学习。</w:t>
            </w:r>
            <w:r>
              <w:rPr>
                <w:rFonts w:hint="eastAsia" w:ascii="楷体" w:hAnsi="楷体" w:eastAsia="楷体" w:cs="Tahoma"/>
                <w:color w:val="333333"/>
                <w:kern w:val="0"/>
                <w:sz w:val="21"/>
                <w:szCs w:val="21"/>
              </w:rPr>
              <w:t>了解系统安全维护的</w:t>
            </w:r>
            <w:r>
              <w:rPr>
                <w:rFonts w:ascii="楷体" w:hAnsi="楷体" w:eastAsia="楷体" w:cs="Tahoma"/>
                <w:color w:val="333333"/>
                <w:kern w:val="0"/>
                <w:sz w:val="21"/>
                <w:szCs w:val="21"/>
              </w:rPr>
              <w:t>内容，</w:t>
            </w:r>
            <w:r>
              <w:rPr>
                <w:rFonts w:hint="eastAsia" w:ascii="楷体" w:hAnsi="楷体" w:eastAsia="楷体" w:cs="Tahoma"/>
                <w:color w:val="333333"/>
                <w:kern w:val="0"/>
                <w:sz w:val="21"/>
                <w:szCs w:val="21"/>
              </w:rPr>
              <w:t>掌握账套管理、用户及权限管理。培养学生能结合企业实际，进行账套建立、设置用户及权限分配，</w:t>
            </w:r>
            <w:r>
              <w:rPr>
                <w:rFonts w:ascii="楷体" w:hAnsi="楷体" w:eastAsia="楷体" w:cs="Tahoma"/>
                <w:color w:val="333333"/>
                <w:kern w:val="0"/>
                <w:sz w:val="21"/>
                <w:szCs w:val="21"/>
              </w:rPr>
              <w:t>培养学生树立信息安全理念，树立四个自信。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总账管理子系统</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1、通过讲授记账凭证的处理；日常业务流程映射职业能力，制度流程化，流程表单化，表单信息化的思政元素，培养学生的</w:t>
            </w:r>
            <w:r>
              <w:rPr>
                <w:rFonts w:ascii="楷体" w:hAnsi="楷体" w:eastAsia="楷体" w:cs="Tahoma"/>
                <w:color w:val="333333"/>
                <w:kern w:val="0"/>
                <w:sz w:val="21"/>
                <w:szCs w:val="21"/>
              </w:rPr>
              <w:t>提高职业素养，提高风险意识。</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2、通过讲授期末业务处理的税费结转映射疫情期间税收政策的灵活性，树立学生</w:t>
            </w:r>
            <w:r>
              <w:rPr>
                <w:rFonts w:ascii="楷体" w:hAnsi="楷体" w:eastAsia="楷体" w:cs="Tahoma"/>
                <w:color w:val="333333"/>
                <w:kern w:val="0"/>
                <w:sz w:val="21"/>
                <w:szCs w:val="21"/>
              </w:rPr>
              <w:t>提升应用能力、凸显金融财务价值的在国家经济生活中的作用。</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相关依据：《会计人员职业道德》、《企业会计信息化工作规范》</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理论讲授，视频观看、案例学习。通过学习</w:t>
            </w:r>
            <w:r>
              <w:rPr>
                <w:rFonts w:hint="eastAsia" w:ascii="楷体" w:hAnsi="楷体" w:eastAsia="楷体" w:cs="Tahoma"/>
                <w:color w:val="333333"/>
                <w:kern w:val="0"/>
                <w:sz w:val="21"/>
                <w:szCs w:val="21"/>
              </w:rPr>
              <w:t>掌握期初数据录入、填制凭证、修改凭证、审核凭证、凭证记账、自动转账及结账操作。培养学生能结合企业实际，进行总账</w:t>
            </w:r>
            <w:r>
              <w:rPr>
                <w:rFonts w:ascii="楷体" w:hAnsi="楷体" w:eastAsia="楷体" w:cs="Tahoma"/>
                <w:color w:val="333333"/>
                <w:kern w:val="0"/>
                <w:sz w:val="21"/>
                <w:szCs w:val="21"/>
              </w:rPr>
              <w:t>参数设置、</w:t>
            </w:r>
            <w:r>
              <w:rPr>
                <w:rFonts w:hint="eastAsia" w:ascii="楷体" w:hAnsi="楷体" w:eastAsia="楷体" w:cs="Tahoma"/>
                <w:color w:val="333333"/>
                <w:kern w:val="0"/>
                <w:sz w:val="21"/>
                <w:szCs w:val="21"/>
              </w:rPr>
              <w:t>期初数据录入，培养学生能结合企业实际，进行填制凭证、修改凭证、审核凭证、凭证记账、凭证记账簿查询、出纳管理，能结合企业实际，进行自动转账及结账。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7" w:hRule="atLeast"/>
        </w:trPr>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报表子系统</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1、通过讲授报表格式定义、报表计算公式定义、报表数据管理等业务中的函数公式的中国式命名方式映射中国空间站的中文标识，树立学生的文化自信。</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w:t>
            </w:r>
            <w:r>
              <w:rPr>
                <w:rFonts w:ascii="楷体" w:hAnsi="楷体" w:eastAsia="楷体" w:cs="Tahoma"/>
                <w:color w:val="333333"/>
                <w:kern w:val="0"/>
                <w:sz w:val="21"/>
                <w:szCs w:val="21"/>
              </w:rPr>
              <w:t>中国载人航天官方网站 (cmse.gov.cn)</w:t>
            </w:r>
            <w:r>
              <w:rPr>
                <w:rFonts w:hint="eastAsia" w:ascii="楷体" w:hAnsi="楷体" w:eastAsia="楷体" w:cs="Tahoma"/>
                <w:color w:val="333333"/>
                <w:kern w:val="0"/>
                <w:sz w:val="21"/>
                <w:szCs w:val="21"/>
              </w:rPr>
              <w:t>》</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理论讲授，视频观看、案例学习。</w:t>
            </w:r>
            <w:r>
              <w:rPr>
                <w:rFonts w:hint="eastAsia" w:ascii="楷体" w:hAnsi="楷体" w:eastAsia="楷体" w:cs="Tahoma"/>
                <w:color w:val="333333"/>
                <w:kern w:val="0"/>
                <w:sz w:val="21"/>
                <w:szCs w:val="21"/>
              </w:rPr>
              <w:t>掌握报表子系统的应用流程、调用报表模板生成报表数据，掌握报表格式定义、报表计算公式定义、报表数据管理。培养学生能结合企业实际，利用报表模板生成报表数据，能结合企业实际，通过自定义报表生成报表数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42" w:hRule="atLeast"/>
        </w:trPr>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薪资管理子系统</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1、通过讲授工资项目设置内容映射疫情期间三项社会保险费减免1.6万亿，，帮助企业度过难过的灵活政策，凸显制度优越性。</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2、通过讲授个人所得税的设置和计算、缴纳映射专项附加扣除的新政政策，提现税收在国家经济生活中的作用，梳理学生税收取之于民、用之于民的理念。</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w:t>
            </w:r>
            <w:r>
              <w:rPr>
                <w:rFonts w:ascii="楷体" w:hAnsi="楷体" w:eastAsia="楷体" w:cs="Tahoma"/>
                <w:color w:val="333333"/>
                <w:kern w:val="0"/>
                <w:sz w:val="21"/>
                <w:szCs w:val="21"/>
              </w:rPr>
              <w:t>国家政务服务平台 新冠肺炎疫情防控专题 (www.gov.cn)</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理论讲授，案例学习。</w:t>
            </w:r>
            <w:r>
              <w:rPr>
                <w:rFonts w:hint="eastAsia" w:ascii="楷体" w:hAnsi="楷体" w:eastAsia="楷体" w:cs="Tahoma"/>
                <w:color w:val="333333"/>
                <w:kern w:val="0"/>
                <w:sz w:val="21"/>
                <w:szCs w:val="21"/>
              </w:rPr>
              <w:t>掌握薪管理子系统的工资项目设置、计算公式设置、工资转账关系定义、工资分摊及凭证处理培养学生能结合企业实际，建立工资账套、进行相应的初始设置、日常及期末处理。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2" w:hRule="atLeast"/>
        </w:trPr>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固定资产管理子系统</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1、</w:t>
            </w:r>
            <w:r>
              <w:rPr>
                <w:rFonts w:ascii="楷体" w:hAnsi="楷体" w:eastAsia="楷体" w:cs="Tahoma"/>
                <w:color w:val="333333"/>
                <w:kern w:val="0"/>
                <w:sz w:val="21"/>
                <w:szCs w:val="21"/>
              </w:rPr>
              <w:t>通过讲授</w:t>
            </w:r>
            <w:r>
              <w:rPr>
                <w:rFonts w:hint="eastAsia" w:ascii="楷体" w:hAnsi="楷体" w:eastAsia="楷体" w:cs="Tahoma"/>
                <w:color w:val="333333"/>
                <w:kern w:val="0"/>
                <w:sz w:val="21"/>
                <w:szCs w:val="21"/>
              </w:rPr>
              <w:t>固定资产采购的内容映射</w:t>
            </w:r>
            <w:r>
              <w:rPr>
                <w:rFonts w:ascii="楷体" w:hAnsi="楷体" w:eastAsia="楷体" w:cs="Tahoma"/>
                <w:color w:val="333333"/>
                <w:kern w:val="0"/>
                <w:sz w:val="21"/>
                <w:szCs w:val="21"/>
              </w:rPr>
              <w:t>购置固定资产进项税处理</w:t>
            </w:r>
            <w:r>
              <w:rPr>
                <w:rFonts w:hint="eastAsia" w:ascii="楷体" w:hAnsi="楷体" w:eastAsia="楷体" w:cs="Tahoma"/>
                <w:color w:val="333333"/>
                <w:kern w:val="0"/>
                <w:sz w:val="21"/>
                <w:szCs w:val="21"/>
              </w:rPr>
              <w:t>的变迁，看工业振兴战略。</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w:t>
            </w:r>
            <w:r>
              <w:rPr>
                <w:rFonts w:ascii="楷体" w:hAnsi="楷体" w:eastAsia="楷体" w:cs="Tahoma"/>
                <w:color w:val="333333"/>
                <w:kern w:val="0"/>
                <w:sz w:val="21"/>
                <w:szCs w:val="21"/>
              </w:rPr>
              <w:t>国家政务服务平台 新冠肺炎疫情防控专题 (www.gov.cn) 《中国制度面对面—理论热点面对面2020》、《新征程面对面—理论热点面对面2021》</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理论讲授，案例学习。</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明确固定资产管理子系统的资产变动、凭证处理、账表查询、期末处理，掌握固定资产管理子系统的原始卡片录入、资产增减、计提折旧</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培养学生能结合企业实际，建立固定资产账套、进行相应的初始设置、日常及期末处理的能力。</w:t>
            </w:r>
            <w:r>
              <w:rPr>
                <w:rFonts w:ascii="楷体" w:hAnsi="楷体" w:eastAsia="楷体" w:cs="Tahoma"/>
                <w:color w:val="333333"/>
                <w:kern w:val="0"/>
                <w:sz w:val="21"/>
                <w:szCs w:val="21"/>
              </w:rPr>
              <w:t>学习提升财务金融思维，凸显中国式现代化的优势。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财经法规与职业道德</w:t>
            </w: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基础理论</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财务及相关法律制度是我国从财经法规体系的重要组成部分。课程教学中，除了带领学生掌握基本的财经法规知识外，还要强化学生的职业道德培育，丰富理论课程教学内容的同时潜移默化地向学生渗透财务核心价值观及职业操守。引导学生树立以遵纪守法、依法律己为荣，以违法犯罪为耻的牢固信念，做一名知法、懂法、守法、用法的大学生。教导学生在工作过程中依法办事，遵守职业道德规范。</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掌握财经法规的发展历程和基本理论，为以后各章的学习打好基础。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企业法</w:t>
            </w:r>
          </w:p>
        </w:tc>
        <w:tc>
          <w:tcPr>
            <w:tcW w:w="3963"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思政映射点：培养学生企业法律知识。在设立个人独资企业、合伙企业过程中要严格遵守企业法律要求。</w:t>
            </w:r>
            <w:r>
              <w:rPr>
                <w:rFonts w:hint="eastAsia" w:ascii="楷体" w:hAnsi="楷体" w:eastAsia="楷体" w:cs="Tahoma"/>
                <w:color w:val="333333"/>
                <w:kern w:val="0"/>
                <w:sz w:val="21"/>
                <w:szCs w:val="21"/>
              </w:rPr>
              <w:t>懂得投资人和合伙人的法律责任和义务。个人独资企业和合伙企业都要诚实编制财务报表。</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理论讲授+案例研讨。掌握个人独资企业、合伙企业的设立、变更终止整个环节的理论知识，并能运用理论知识解决实际问题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公司法</w:t>
            </w:r>
          </w:p>
        </w:tc>
        <w:tc>
          <w:tcPr>
            <w:tcW w:w="3963" w:type="dxa"/>
          </w:tcPr>
          <w:p>
            <w:pPr>
              <w:widowControl/>
              <w:jc w:val="left"/>
              <w:rPr>
                <w:rFonts w:ascii="楷体" w:hAnsi="楷体" w:eastAsia="楷体" w:cs="Tahoma"/>
                <w:color w:val="333333"/>
                <w:kern w:val="0"/>
                <w:sz w:val="21"/>
                <w:szCs w:val="21"/>
              </w:rPr>
            </w:pPr>
            <w:r>
              <w:rPr>
                <w:rFonts w:ascii="楷体" w:hAnsi="楷体" w:eastAsia="楷体" w:cs="Tahoma"/>
                <w:color w:val="333333"/>
                <w:kern w:val="0"/>
                <w:sz w:val="21"/>
                <w:szCs w:val="21"/>
              </w:rPr>
              <w:t>思政映射点：培养学生公司法律知识。分析判断公司的组织、行为的合法性。股份发行都必须符合法律规定的条件和程序，不得违反公司法。公司要诚实编制财务报表，不能弄虚作假。</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理论讲授+案例研讨。掌握公司的设立条件、程序、方式。熟悉公司资本制度、利润分配制度、组织机构的设置和议事规则。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合同法</w:t>
            </w:r>
          </w:p>
        </w:tc>
        <w:tc>
          <w:tcPr>
            <w:tcW w:w="3963"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思政映射点：培养学生合同法律知识。</w:t>
            </w:r>
            <w:r>
              <w:rPr>
                <w:rFonts w:hint="eastAsia" w:ascii="楷体" w:hAnsi="楷体" w:eastAsia="楷体" w:cs="Tahoma"/>
                <w:color w:val="333333"/>
                <w:kern w:val="0"/>
                <w:sz w:val="21"/>
                <w:szCs w:val="21"/>
              </w:rPr>
              <w:t>培养</w:t>
            </w:r>
            <w:r>
              <w:rPr>
                <w:rFonts w:ascii="楷体" w:hAnsi="楷体" w:eastAsia="楷体" w:cs="Tahoma"/>
                <w:color w:val="333333"/>
                <w:kern w:val="0"/>
                <w:sz w:val="21"/>
                <w:szCs w:val="21"/>
              </w:rPr>
              <w:t>契约精神，严格遵守合同条款，积极履行合同规定义务，做一个信守承诺的人，不要违反协议。</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理论讲授+案例研讨。</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熟悉合同成立制度。掌握合同变更、转让及终止的条件、事由和具体程序。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市场调控法</w:t>
            </w:r>
          </w:p>
        </w:tc>
        <w:tc>
          <w:tcPr>
            <w:tcW w:w="3963"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思政映射点：培养消费者依法维权意识和能力，培养学生产品质量意识和依法处理产品质量问题的能力。企业要诚信经营，不能侵害消费者权益。生产者要严格按照国家法定标准生产产品，不能生产假冒伪劣产品，以次充好。</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理论讲授+案例回放。</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掌握具体的不正当竞争行为，消费者合法权益保护方式，生产者、销售者的产品质量责任和义务。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破产法</w:t>
            </w:r>
          </w:p>
        </w:tc>
        <w:tc>
          <w:tcPr>
            <w:tcW w:w="3963"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思政映射点：</w:t>
            </w:r>
            <w:r>
              <w:rPr>
                <w:rFonts w:hint="eastAsia" w:ascii="楷体" w:hAnsi="楷体" w:eastAsia="楷体" w:cs="Tahoma"/>
                <w:color w:val="333333"/>
                <w:kern w:val="0"/>
                <w:sz w:val="21"/>
                <w:szCs w:val="21"/>
              </w:rPr>
              <w:t>培养</w:t>
            </w:r>
            <w:r>
              <w:rPr>
                <w:rFonts w:ascii="楷体" w:hAnsi="楷体" w:eastAsia="楷体" w:cs="Tahoma"/>
                <w:color w:val="333333"/>
                <w:kern w:val="0"/>
                <w:sz w:val="21"/>
                <w:szCs w:val="21"/>
              </w:rPr>
              <w:t>企业经营管理人员</w:t>
            </w:r>
            <w:r>
              <w:rPr>
                <w:rFonts w:hint="eastAsia" w:ascii="楷体" w:hAnsi="楷体" w:eastAsia="楷体" w:cs="Tahoma"/>
                <w:color w:val="333333"/>
                <w:kern w:val="0"/>
                <w:sz w:val="21"/>
                <w:szCs w:val="21"/>
              </w:rPr>
              <w:t>依破产意识，要</w:t>
            </w:r>
            <w:r>
              <w:rPr>
                <w:rFonts w:ascii="楷体" w:hAnsi="楷体" w:eastAsia="楷体" w:cs="Tahoma"/>
                <w:color w:val="333333"/>
                <w:kern w:val="0"/>
                <w:sz w:val="21"/>
                <w:szCs w:val="21"/>
              </w:rPr>
              <w:t>公平清理债权债务，保护债权人和债务人的合法权益，维护社会主义市场经济秩序。</w:t>
            </w:r>
          </w:p>
        </w:tc>
        <w:tc>
          <w:tcPr>
            <w:tcW w:w="2268" w:type="dxa"/>
          </w:tcPr>
          <w:p>
            <w:pPr>
              <w:widowControl/>
              <w:rPr>
                <w:rFonts w:ascii="楷体" w:hAnsi="楷体" w:eastAsia="楷体" w:cs="Tahoma"/>
                <w:color w:val="333333"/>
                <w:kern w:val="0"/>
                <w:sz w:val="21"/>
                <w:szCs w:val="21"/>
              </w:rPr>
            </w:pPr>
            <w:r>
              <w:rPr>
                <w:rFonts w:ascii="楷体" w:hAnsi="楷体" w:eastAsia="楷体" w:cs="Tahoma"/>
                <w:color w:val="333333"/>
                <w:kern w:val="0"/>
                <w:sz w:val="21"/>
                <w:szCs w:val="21"/>
              </w:rPr>
              <w:t>理论讲授+案例回放。</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掌握企业破产法定程序，明确企业经营管理人员的责任和义务。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Merge w:val="restart"/>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审计学</w:t>
            </w:r>
          </w:p>
        </w:tc>
        <w:tc>
          <w:tcPr>
            <w:tcW w:w="1140" w:type="dxa"/>
          </w:tcPr>
          <w:p>
            <w:pPr>
              <w:widowControl/>
              <w:jc w:val="center"/>
              <w:rPr>
                <w:rFonts w:ascii="楷体" w:hAnsi="楷体" w:eastAsia="楷体" w:cs="Tahoma"/>
                <w:color w:val="333333"/>
                <w:kern w:val="0"/>
                <w:sz w:val="21"/>
                <w:szCs w:val="21"/>
              </w:rPr>
            </w:pPr>
            <w:r>
              <w:rPr>
                <w:rFonts w:hint="eastAsia" w:ascii="楷体" w:hAnsi="楷体" w:eastAsia="楷体" w:cs="Tahoma"/>
                <w:color w:val="333333"/>
                <w:kern w:val="0"/>
                <w:sz w:val="21"/>
                <w:szCs w:val="21"/>
              </w:rPr>
              <w:t>审计导论</w:t>
            </w:r>
          </w:p>
        </w:tc>
        <w:tc>
          <w:tcPr>
            <w:tcW w:w="3963" w:type="dxa"/>
          </w:tcPr>
          <w:p>
            <w:pPr>
              <w:widowControl/>
              <w:jc w:val="left"/>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注册会计师是企业财务管理行为的鉴证者，是保证企业财务管理的重要参与者，是监督我国筹融资市场良好运行的重要组成部分。大学生在学习审计课程的同时，授课教师应引导学生树立社会利益为先的理想信念，积极担当应有的社会责任，培养学生具备坚定正确的政治方向、爱国情怀和较高的政治素养。培养学生遵守职业道德和规范，履行职责，让学生了解什么是作为一个审计人员需要具备的职业道德，价值观与生活中的哪些行为有关。</w:t>
            </w:r>
          </w:p>
          <w:p>
            <w:pPr>
              <w:widowControl/>
              <w:jc w:val="left"/>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相关依据：《中华人民共和国注册会计师法》、《中国注册会计师职业道德基本准则》、《中国注册会计师职业道德守则》</w:t>
            </w:r>
          </w:p>
        </w:tc>
        <w:tc>
          <w:tcPr>
            <w:tcW w:w="2268" w:type="dxa"/>
          </w:tcPr>
          <w:p>
            <w:pPr>
              <w:widowControl/>
              <w:jc w:val="left"/>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w:t>
            </w:r>
          </w:p>
          <w:p>
            <w:pPr>
              <w:widowControl/>
              <w:jc w:val="left"/>
              <w:rPr>
                <w:rFonts w:ascii="楷体" w:hAnsi="楷体" w:eastAsia="楷体" w:cs="Tahoma"/>
                <w:color w:val="333333"/>
                <w:kern w:val="0"/>
                <w:sz w:val="21"/>
                <w:szCs w:val="21"/>
              </w:rPr>
            </w:pPr>
            <w:r>
              <w:rPr>
                <w:rFonts w:hint="eastAsia" w:ascii="楷体" w:hAnsi="楷体" w:eastAsia="楷体" w:cs="Tahoma"/>
                <w:color w:val="333333"/>
                <w:kern w:val="0"/>
                <w:sz w:val="21"/>
                <w:szCs w:val="21"/>
              </w:rPr>
              <w:t>掌握审计学的基本理论和基本概念，为以后各章的学习打好基础。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审计方法、审计证据和工作底稿</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培养学生严格遵守职业规则，高质量完成本职工作。审计程序的执行必须严格遵循审计准则的要求，不同的审计程序运用于什么阶段和情境，审计程序如何执行、结果如何处理，都必须以审计准则为依据。本章内容的学习有助于培养学生具备良好的社会职业道德、客观分析问题等意识，并能够在审计工作实践中，结合企业内外部环境，给出合理的设计方案和结果，达到践行教育的初心和使命。</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掌握审计证据和审计工作底稿的涵义、特性及分类、搜集和整理的基本方法和技能，为指导审计工作过程打下理论基础。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风险评估与风险应对</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结合世界最大的会计师事务所安达信因为安然公司造假而荣誉尽毁以及国内多家会计师事务所因未严格实施审计程序，在审计过程中职业谨慎不够，没有有效的将检查风险降低到可接受的低水平，而导致会计师事务和注册会计师通报批评、暂停执业等处罚的案例，让学生树立风险导向意识，让学生感受诚信为本、操守为重、实事求是、依法执业的重要性。</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理论讲授、案例研讨。</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掌握识别和评估重大错报风险的基本思路，掌握重大错报风险的应对措施。形成风险导向审计的理念。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业务循环审计</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培养学生具有高度的社会责任感。结合资本市场康美药业、獐子岛、ST昆机、康得新等收入、存货、货币资金舞弊的案例，让学生了解上市公司财务舞弊的动机、主要手段以及给投资者和社会带来的负面影响。培养学生今后在不同的岗位，都要具有高度的社会责任感和依法办事的意识。培养学生的风险识别意识和风险应对能力。通过舞弊案例分析让学生了解各种公司舞弊的迹象，积累一定的知识和经验，在今后的工作中具备一定的风险识别和应对能力。</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理论讲授、案例研讨。</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了解各业务循环的业务流程及主要的内部控制，掌握收入、存货、货币资金等项目的实质性程序和方法。掌握审计实务的主要技能。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终结审计与审计报告</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注册会计师是资本市场的“看门人”，做好“看门人”要做到独立、客观、公正地做好专业服务，遵循职业道德。审计意见是企业财务管理行为的外在体现，对投资者决策有重大影响，具有广泛的经济后果，审计人员在发表审计意见时必须保持客观、独立、公正，杜绝购买审计意见等行为。本章的学习，有助于培育学生客观公正的为人处世态度，在本职工作中不受经济利益诱惑，不受私人关系影响，不受他人意见干扰，能够保持独立判断。</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理论讲授、实战训练。</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掌握审计报告的种类以及审计意见的类型，基于真实审计报告分析审计意见的形成。能够发表恰当的审计意见。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审计学</w:t>
            </w: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审计导论</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注册会计师是企业财务管理行为的鉴证者，是保证企业财务管理的重要参与者，是监督我国筹融资市场良好运行的重要组成部分。大学生在学习审计课程的同时，授课教师应引导学生树立社会利益为先的理想信念，积极担当应有的社会责任，培养学生具备坚定正确的政治方向、爱国情怀和较高的政治素养。培养学生遵守职业道德和规范，履行职责，让学生了解什么是作为一个审计人员需要具备的职业道德，价值观与生活中的哪些行为有关。</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相关依据：《中华人民共和国注册会计师法》、《中国注册会计师职业道德基本准则》、《中国注册会计师职业道德守则》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掌握审计学的基本理论和基本概念，为以后各章的学习打好基础。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审计方法、审计证据和工作底稿</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培养学生严格遵守职业规则，高质量完成本职工作。审计程序的执行必须严格遵循审计准则的要求，不同的审计程序运用于什么阶段和情境，审计程序如何执行、结果如何处理，都必须以审计准则为依据。本章内容的学习有助于培养学生具备良好的社会职业道德、客观分析问题等意识，并能够在审计工作实践中，结合企业内外部环境，给出合理的设计方案和结果，达到践行教育的初心和使命。</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掌握审计证据和审计工作底稿的涵义、特性及分类、搜集和整理的基本方法和技能，为指导审计工作过程打下理论基础。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风险评估与风险应对</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结合世界最大的会计师事务所安达信因为安然公司造假而荣誉尽毁以及国内多家会计师事务所因未严格实施审计程序，在审计过程中职业谨慎不够，没有有效的将检查风险降低到可接受的低水平，而导致会计师事务和注册会计师通报批评、暂停执业等处罚的案例，让学生树立风险导向意识，让学生感受诚信为本、操守为重、实事求是、依法执业的重要性。</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理论讲授、案例研讨。</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掌握识别和评估重大错报风险的基本思路，掌握重大错报风险的应对措施。形成风险导向审计的理念。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业务循环审计</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培养学生具有高度的社会责任感。结合资本市场康美药业、獐子岛、ST昆机、康得新等收入、存货、货币资金舞弊的案例，让学生了解上市公司财务舞弊的动机、主要手段以及给投资者和社会带来的负面影响。培养学生今后在不同的岗位，都要具有高度的社会责任感和依法办事的意识。培养学生的风险识别意识和风险应对能力。通过舞弊案例分析让学生了解各种公司舞弊的迹象，积累一定的知识和经验，在今后的工作中具备一定的风险识别和应对能力。</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理论讲授、案例研讨。</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了解各业务循环的业务流程及主要的内部控制，掌握收入、存货、货币资金等项目的实质性程序和方法。掌握审计实务的主要技能。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0" w:type="auto"/>
            <w:vMerge w:val="continue"/>
          </w:tcPr>
          <w:p>
            <w:pPr>
              <w:widowControl/>
              <w:rPr>
                <w:rFonts w:ascii="楷体" w:hAnsi="楷体" w:eastAsia="楷体" w:cs="Tahoma"/>
                <w:color w:val="333333"/>
                <w:kern w:val="0"/>
                <w:sz w:val="21"/>
                <w:szCs w:val="21"/>
              </w:rPr>
            </w:pPr>
          </w:p>
        </w:tc>
        <w:tc>
          <w:tcPr>
            <w:tcW w:w="1140"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终结审计与审计报告</w:t>
            </w:r>
          </w:p>
        </w:tc>
        <w:tc>
          <w:tcPr>
            <w:tcW w:w="3963"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思政映射点：注册会计师是资本市场的“看门人”，做好“看门人”要做到独立、客观、公正地做好专业服务，遵循职业道德。审计意见是企业财务管理行为的外在体现，对投资者决策有重大影响，具有广泛的经济后果，审计人员在发表审计意见时必须保持客观、独立、公正，杜绝购买审计意见等行为。本章的学习，有助于培育学生客观公正的为人处世态度，在本职工作中不受经济利益诱惑，不受私人关系影响，不受他人意见干扰，能够保持独立判断。</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相关依据：《中国注册会计师审计准则》</w:t>
            </w:r>
          </w:p>
        </w:tc>
        <w:tc>
          <w:tcPr>
            <w:tcW w:w="2268" w:type="dxa"/>
          </w:tcPr>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理论讲授、实战训练。</w:t>
            </w:r>
          </w:p>
          <w:p>
            <w:pPr>
              <w:widowControl/>
              <w:rPr>
                <w:rFonts w:ascii="楷体" w:hAnsi="楷体" w:eastAsia="楷体" w:cs="Tahoma"/>
                <w:color w:val="333333"/>
                <w:kern w:val="0"/>
                <w:sz w:val="21"/>
                <w:szCs w:val="21"/>
              </w:rPr>
            </w:pPr>
            <w:r>
              <w:rPr>
                <w:rFonts w:hint="eastAsia" w:ascii="楷体" w:hAnsi="楷体" w:eastAsia="楷体" w:cs="Tahoma"/>
                <w:color w:val="333333"/>
                <w:kern w:val="0"/>
                <w:sz w:val="21"/>
                <w:szCs w:val="21"/>
              </w:rPr>
              <w:t>掌握审计报告的种类以及审计意见的类型，基于真实审计报告分析审计意见的形成。能够发表恰当的审计意见。</w:t>
            </w:r>
          </w:p>
        </w:tc>
      </w:tr>
    </w:tbl>
    <w:p>
      <w:pPr>
        <w:widowControl/>
        <w:rPr>
          <w:rFonts w:ascii="楷体" w:hAnsi="楷体" w:eastAsia="楷体" w:cs="Tahoma"/>
          <w:color w:val="333333"/>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034E40"/>
    <w:multiLevelType w:val="singleLevel"/>
    <w:tmpl w:val="CB034E40"/>
    <w:lvl w:ilvl="0" w:tentative="0">
      <w:start w:val="1"/>
      <w:numFmt w:val="bullet"/>
      <w:lvlText w:val=""/>
      <w:lvlJc w:val="left"/>
      <w:pPr>
        <w:ind w:left="420" w:hanging="420"/>
      </w:pPr>
      <w:rPr>
        <w:rFonts w:hint="default" w:ascii="Wingdings" w:hAnsi="Wingdings"/>
      </w:rPr>
    </w:lvl>
  </w:abstractNum>
  <w:abstractNum w:abstractNumId="1">
    <w:nsid w:val="3C3DC5F3"/>
    <w:multiLevelType w:val="singleLevel"/>
    <w:tmpl w:val="3C3DC5F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QwY2NmNmZkOGMyMTM0YmM3OGExZjc5MTlmYmQ0MzAifQ=="/>
  </w:docVars>
  <w:rsids>
    <w:rsidRoot w:val="00F46995"/>
    <w:rsid w:val="000E1A8B"/>
    <w:rsid w:val="00192336"/>
    <w:rsid w:val="00256319"/>
    <w:rsid w:val="002968F6"/>
    <w:rsid w:val="002C0B0B"/>
    <w:rsid w:val="002C5A6B"/>
    <w:rsid w:val="002E3901"/>
    <w:rsid w:val="003D54F2"/>
    <w:rsid w:val="00461A2F"/>
    <w:rsid w:val="004E2611"/>
    <w:rsid w:val="004F4BF4"/>
    <w:rsid w:val="005060D8"/>
    <w:rsid w:val="00524636"/>
    <w:rsid w:val="006A1BBE"/>
    <w:rsid w:val="00720D1A"/>
    <w:rsid w:val="00737696"/>
    <w:rsid w:val="00755ECF"/>
    <w:rsid w:val="00757568"/>
    <w:rsid w:val="00814795"/>
    <w:rsid w:val="0082191F"/>
    <w:rsid w:val="009511E3"/>
    <w:rsid w:val="009743CD"/>
    <w:rsid w:val="00976DF6"/>
    <w:rsid w:val="00A61A53"/>
    <w:rsid w:val="00A66D14"/>
    <w:rsid w:val="00A973B7"/>
    <w:rsid w:val="00AA35D1"/>
    <w:rsid w:val="00AC6E4D"/>
    <w:rsid w:val="00B061AA"/>
    <w:rsid w:val="00C9667B"/>
    <w:rsid w:val="00CE1679"/>
    <w:rsid w:val="00D136A7"/>
    <w:rsid w:val="00DB41FE"/>
    <w:rsid w:val="00F46995"/>
    <w:rsid w:val="00F773B0"/>
    <w:rsid w:val="016025FC"/>
    <w:rsid w:val="01F64D0F"/>
    <w:rsid w:val="02313F99"/>
    <w:rsid w:val="02DA63DE"/>
    <w:rsid w:val="03CC21CB"/>
    <w:rsid w:val="04455AD9"/>
    <w:rsid w:val="046475CC"/>
    <w:rsid w:val="05524952"/>
    <w:rsid w:val="05946D18"/>
    <w:rsid w:val="05C865EE"/>
    <w:rsid w:val="06127C3D"/>
    <w:rsid w:val="06652463"/>
    <w:rsid w:val="06734B80"/>
    <w:rsid w:val="0A821835"/>
    <w:rsid w:val="0AB539B9"/>
    <w:rsid w:val="0B187AA4"/>
    <w:rsid w:val="0BDF6813"/>
    <w:rsid w:val="0CC46135"/>
    <w:rsid w:val="0D3A1F53"/>
    <w:rsid w:val="0D576FA9"/>
    <w:rsid w:val="0D870F11"/>
    <w:rsid w:val="0D8D29CB"/>
    <w:rsid w:val="0ECD6DF7"/>
    <w:rsid w:val="0F307AB2"/>
    <w:rsid w:val="104D6442"/>
    <w:rsid w:val="10B4201D"/>
    <w:rsid w:val="11665A0D"/>
    <w:rsid w:val="11812847"/>
    <w:rsid w:val="11987B90"/>
    <w:rsid w:val="11B03394"/>
    <w:rsid w:val="11BD75F7"/>
    <w:rsid w:val="11BF336F"/>
    <w:rsid w:val="12080872"/>
    <w:rsid w:val="12EC1F42"/>
    <w:rsid w:val="12F157AA"/>
    <w:rsid w:val="141B59B1"/>
    <w:rsid w:val="160550C9"/>
    <w:rsid w:val="162B4B2F"/>
    <w:rsid w:val="17854713"/>
    <w:rsid w:val="17C84600"/>
    <w:rsid w:val="18694035"/>
    <w:rsid w:val="18B76CDE"/>
    <w:rsid w:val="18DE232D"/>
    <w:rsid w:val="19E020D4"/>
    <w:rsid w:val="1A0503BE"/>
    <w:rsid w:val="1A442663"/>
    <w:rsid w:val="1A5D1977"/>
    <w:rsid w:val="1A9D7FC6"/>
    <w:rsid w:val="1B375D24"/>
    <w:rsid w:val="1C381D54"/>
    <w:rsid w:val="1C6C7C4F"/>
    <w:rsid w:val="1D1C78C7"/>
    <w:rsid w:val="1DF12B02"/>
    <w:rsid w:val="1E2A6014"/>
    <w:rsid w:val="1E4E1D03"/>
    <w:rsid w:val="20653333"/>
    <w:rsid w:val="22105521"/>
    <w:rsid w:val="231352C9"/>
    <w:rsid w:val="2389558B"/>
    <w:rsid w:val="23931F66"/>
    <w:rsid w:val="23EA427B"/>
    <w:rsid w:val="2412732E"/>
    <w:rsid w:val="24577437"/>
    <w:rsid w:val="24883A94"/>
    <w:rsid w:val="24E0742D"/>
    <w:rsid w:val="24F468A5"/>
    <w:rsid w:val="2527505B"/>
    <w:rsid w:val="25FC0296"/>
    <w:rsid w:val="26977FBF"/>
    <w:rsid w:val="26F92A28"/>
    <w:rsid w:val="277327DA"/>
    <w:rsid w:val="28814A83"/>
    <w:rsid w:val="290731DA"/>
    <w:rsid w:val="29380442"/>
    <w:rsid w:val="29930F11"/>
    <w:rsid w:val="2A495A74"/>
    <w:rsid w:val="2C2045B2"/>
    <w:rsid w:val="2C3A5674"/>
    <w:rsid w:val="2C7072E8"/>
    <w:rsid w:val="2C9E20A7"/>
    <w:rsid w:val="2CDE6947"/>
    <w:rsid w:val="2D0637A8"/>
    <w:rsid w:val="2D173C07"/>
    <w:rsid w:val="2E112405"/>
    <w:rsid w:val="2E222864"/>
    <w:rsid w:val="2F1228D8"/>
    <w:rsid w:val="2FF95846"/>
    <w:rsid w:val="313A6116"/>
    <w:rsid w:val="328533C1"/>
    <w:rsid w:val="32DD144F"/>
    <w:rsid w:val="344A2B14"/>
    <w:rsid w:val="348A2F11"/>
    <w:rsid w:val="348E2A01"/>
    <w:rsid w:val="35ED7BFB"/>
    <w:rsid w:val="35F44AE6"/>
    <w:rsid w:val="366F0610"/>
    <w:rsid w:val="36CF7301"/>
    <w:rsid w:val="37EA43F2"/>
    <w:rsid w:val="38AF2F46"/>
    <w:rsid w:val="38C84008"/>
    <w:rsid w:val="39317DFF"/>
    <w:rsid w:val="3962445C"/>
    <w:rsid w:val="3AE25855"/>
    <w:rsid w:val="3AFB39E4"/>
    <w:rsid w:val="3BC9431F"/>
    <w:rsid w:val="3C7903B8"/>
    <w:rsid w:val="3D2F0AF9"/>
    <w:rsid w:val="3D406863"/>
    <w:rsid w:val="3DDD2303"/>
    <w:rsid w:val="3FD87226"/>
    <w:rsid w:val="40354679"/>
    <w:rsid w:val="40BC6B48"/>
    <w:rsid w:val="40E045E4"/>
    <w:rsid w:val="40FE2CBD"/>
    <w:rsid w:val="41DA7286"/>
    <w:rsid w:val="429531AD"/>
    <w:rsid w:val="42FA5706"/>
    <w:rsid w:val="430C23BC"/>
    <w:rsid w:val="43421586"/>
    <w:rsid w:val="43476B9D"/>
    <w:rsid w:val="43DE6DD5"/>
    <w:rsid w:val="44020D16"/>
    <w:rsid w:val="45FC3543"/>
    <w:rsid w:val="46BF2EEE"/>
    <w:rsid w:val="474A6C5C"/>
    <w:rsid w:val="476B4E24"/>
    <w:rsid w:val="48E96000"/>
    <w:rsid w:val="48F50E49"/>
    <w:rsid w:val="4A037596"/>
    <w:rsid w:val="4A3459A1"/>
    <w:rsid w:val="4AFD2237"/>
    <w:rsid w:val="4C017B05"/>
    <w:rsid w:val="4CF5766A"/>
    <w:rsid w:val="4D267823"/>
    <w:rsid w:val="4DBF37D4"/>
    <w:rsid w:val="4F4915A7"/>
    <w:rsid w:val="4F552641"/>
    <w:rsid w:val="4FFA6D45"/>
    <w:rsid w:val="50395ABF"/>
    <w:rsid w:val="505A5A36"/>
    <w:rsid w:val="5099030C"/>
    <w:rsid w:val="51B573C7"/>
    <w:rsid w:val="526E7576"/>
    <w:rsid w:val="527032EE"/>
    <w:rsid w:val="533F163E"/>
    <w:rsid w:val="536270DB"/>
    <w:rsid w:val="53A25729"/>
    <w:rsid w:val="53E421E6"/>
    <w:rsid w:val="54ED50CA"/>
    <w:rsid w:val="55432F3C"/>
    <w:rsid w:val="5587107B"/>
    <w:rsid w:val="55AA6B17"/>
    <w:rsid w:val="55F1249F"/>
    <w:rsid w:val="56680EAC"/>
    <w:rsid w:val="566969D2"/>
    <w:rsid w:val="568D26C1"/>
    <w:rsid w:val="56C43C09"/>
    <w:rsid w:val="56F444EE"/>
    <w:rsid w:val="575B631B"/>
    <w:rsid w:val="58353010"/>
    <w:rsid w:val="58B06B3A"/>
    <w:rsid w:val="58D04AE7"/>
    <w:rsid w:val="59CA7788"/>
    <w:rsid w:val="5BF44F90"/>
    <w:rsid w:val="5C205D85"/>
    <w:rsid w:val="5C8C6F77"/>
    <w:rsid w:val="5ED115B9"/>
    <w:rsid w:val="5F2636B2"/>
    <w:rsid w:val="607448F1"/>
    <w:rsid w:val="60C05441"/>
    <w:rsid w:val="618943CD"/>
    <w:rsid w:val="61A11716"/>
    <w:rsid w:val="61DA69D6"/>
    <w:rsid w:val="628A03FC"/>
    <w:rsid w:val="634C56B2"/>
    <w:rsid w:val="63D556A7"/>
    <w:rsid w:val="660D737A"/>
    <w:rsid w:val="665F74AA"/>
    <w:rsid w:val="668D2269"/>
    <w:rsid w:val="6716225F"/>
    <w:rsid w:val="674D37A6"/>
    <w:rsid w:val="6922138F"/>
    <w:rsid w:val="6B7457A6"/>
    <w:rsid w:val="6C3C2767"/>
    <w:rsid w:val="6C5D5B58"/>
    <w:rsid w:val="6C726189"/>
    <w:rsid w:val="6D513FF0"/>
    <w:rsid w:val="6D910891"/>
    <w:rsid w:val="6DBD1686"/>
    <w:rsid w:val="6DCF13B9"/>
    <w:rsid w:val="6DCF4F15"/>
    <w:rsid w:val="6E217E67"/>
    <w:rsid w:val="6F7B35A7"/>
    <w:rsid w:val="70DE203F"/>
    <w:rsid w:val="70E37655"/>
    <w:rsid w:val="72CE60E3"/>
    <w:rsid w:val="72F316A6"/>
    <w:rsid w:val="73682094"/>
    <w:rsid w:val="73E831D5"/>
    <w:rsid w:val="75610B49"/>
    <w:rsid w:val="75866801"/>
    <w:rsid w:val="75D05CCE"/>
    <w:rsid w:val="76D31F1A"/>
    <w:rsid w:val="775766A7"/>
    <w:rsid w:val="782C7B34"/>
    <w:rsid w:val="78961451"/>
    <w:rsid w:val="7944421D"/>
    <w:rsid w:val="7A2D7B93"/>
    <w:rsid w:val="7C4E5B9F"/>
    <w:rsid w:val="7D741635"/>
    <w:rsid w:val="7DC600E3"/>
    <w:rsid w:val="7FC92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Strong"/>
    <w:basedOn w:val="7"/>
    <w:qFormat/>
    <w:uiPriority w:val="22"/>
    <w:rPr>
      <w:b/>
      <w:bCs/>
    </w:rPr>
  </w:style>
  <w:style w:type="character" w:styleId="9">
    <w:name w:val="Hyperlink"/>
    <w:basedOn w:val="7"/>
    <w:unhideWhenUsed/>
    <w:uiPriority w:val="99"/>
    <w:rPr>
      <w:color w:val="0000FF" w:themeColor="hyperlink"/>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C209-3841-4B78-92E0-EA83815B78FB}">
  <ds:schemaRefs/>
</ds:datastoreItem>
</file>

<file path=docProps/app.xml><?xml version="1.0" encoding="utf-8"?>
<Properties xmlns="http://schemas.openxmlformats.org/officeDocument/2006/extended-properties" xmlns:vt="http://schemas.openxmlformats.org/officeDocument/2006/docPropsVTypes">
  <Template>Normal</Template>
  <Pages>18</Pages>
  <Words>15784</Words>
  <Characters>15871</Characters>
  <Lines>114</Lines>
  <Paragraphs>32</Paragraphs>
  <TotalTime>6</TotalTime>
  <ScaleCrop>false</ScaleCrop>
  <LinksUpToDate>false</LinksUpToDate>
  <CharactersWithSpaces>15893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2022-10-31T00:44:00Z</dcterms:created>
  <dc:creator>kmdww</dc:creator>
  <cp:lastModifiedBy>sΤ＆閖顔</cp:lastModifiedBy>
  <dcterms:modified xsi:type="dcterms:W3CDTF">2022-11-04T14:03:22Z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01948A87AB37431DBED6FDB11F46801A</vt:lpwstr>
  </property>
</Properties>
</file>