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《计量经济学》课程简介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69"/>
        <w:gridCol w:w="2081"/>
        <w:gridCol w:w="933"/>
        <w:gridCol w:w="195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计量经济学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1A10659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vMerge w:val="restart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977900" cy="2412365"/>
                  <wp:effectExtent l="0" t="0" r="12700" b="10795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英文名称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b w:val="0"/>
                <w:bCs/>
                <w:sz w:val="32"/>
                <w:szCs w:val="32"/>
              </w:rPr>
              <w:t>Econometrics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专业必修课</w:t>
            </w:r>
          </w:p>
        </w:tc>
        <w:tc>
          <w:tcPr>
            <w:tcW w:w="158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开设学期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大二学期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周学时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４节课／每周</w:t>
            </w:r>
          </w:p>
        </w:tc>
        <w:tc>
          <w:tcPr>
            <w:tcW w:w="158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4学分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先修课程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高等数学、经济学等</w:t>
            </w:r>
          </w:p>
        </w:tc>
        <w:tc>
          <w:tcPr>
            <w:tcW w:w="158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开设专业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金融学、金融工程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课程论文</w:t>
            </w:r>
          </w:p>
        </w:tc>
        <w:tc>
          <w:tcPr>
            <w:tcW w:w="158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3" w:hRule="atLeast"/>
        </w:trPr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选用教材</w:t>
            </w:r>
          </w:p>
        </w:tc>
        <w:tc>
          <w:tcPr>
            <w:tcW w:w="4964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樊丽淑和李浩主编，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《计量经济学教程》，浙江大学出版社，2022年12月（待出版）</w:t>
            </w:r>
          </w:p>
        </w:tc>
        <w:tc>
          <w:tcPr>
            <w:tcW w:w="158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主要参考书</w:t>
            </w:r>
          </w:p>
        </w:tc>
        <w:tc>
          <w:tcPr>
            <w:tcW w:w="6553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[美]伍德里奇主编，《计量经济学导论:现代观点》（第五版），中国人民大学出版社，2015年5月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课程性质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目的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任务</w:t>
            </w:r>
          </w:p>
        </w:tc>
        <w:tc>
          <w:tcPr>
            <w:tcW w:w="6553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《计量经济学》是一门综合经济学、数学、统计学、计算机等交叉学科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理论</w:t>
            </w:r>
            <w:r>
              <w:rPr>
                <w:rFonts w:ascii="宋体" w:hAnsi="宋体" w:eastAsia="宋体" w:cs="宋体"/>
                <w:sz w:val="24"/>
                <w:szCs w:val="24"/>
              </w:rPr>
              <w:t>的经济数量分析方法论课程，是经济管理类专业本科学生必修课程之一，具有很强的应用性。该课程要求学生掌握计量经济学方法论的基本原理，具备对现实经济问题和现象进行数量分析和研究的基本能力，能够结合现实经济金融问题，建立和应用实用的计量经济学模型，开展经济计量分析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教学基本要求</w:t>
            </w:r>
          </w:p>
        </w:tc>
        <w:tc>
          <w:tcPr>
            <w:tcW w:w="6553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结合应用型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人才培养定位，本课程试图培养具备良好的数据分析处理和量化研究能力的应用型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经济金融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人才，育人目标包括：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（1）知识目标：结合现代经济金融原理和数理统计知识，掌握基本的回归模型理论假设、变量选择、数据采集、参数估计、统计检验和模型修正等专业知识和方法论；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（2）能力目标：能够熟练运用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计量软件开展量化研究分析，解决实际经济金融问题的能力、自主探索能力和持续学习创新能力；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（3）素质目标：引导学生树立科学的世界观、人生观和价值观，形成全局性、辩证性和批判性思维方法以及科学严谨的研究探索精神，形成自主探究、团队协作和持续学习创新能力。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重点内容</w:t>
            </w:r>
          </w:p>
        </w:tc>
        <w:tc>
          <w:tcPr>
            <w:tcW w:w="6553" w:type="dxa"/>
            <w:gridSpan w:val="4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</w:t>
            </w:r>
            <w:r>
              <w:rPr>
                <w:rFonts w:ascii="宋体" w:hAnsi="宋体" w:eastAsia="宋体" w:cs="宋体"/>
                <w:sz w:val="24"/>
                <w:szCs w:val="24"/>
              </w:rPr>
              <w:t>课程主要介绍计量经济学的基本理论、方法和应用，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</w:t>
            </w:r>
            <w:r>
              <w:rPr>
                <w:rFonts w:ascii="宋体" w:hAnsi="宋体" w:eastAsia="宋体" w:cs="宋体"/>
                <w:sz w:val="24"/>
                <w:szCs w:val="24"/>
              </w:rPr>
              <w:t>内容包括：一是计量经济学导论，主要介绍计量经济研究的目的和意义、计量经济学模型设定和主要步骤、计量经济模型的应用和发展趋势等；二是经典线性回归模型概述，主要介绍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线性</w:t>
            </w:r>
            <w:r>
              <w:rPr>
                <w:rFonts w:ascii="宋体" w:hAnsi="宋体" w:eastAsia="宋体" w:cs="宋体"/>
                <w:sz w:val="24"/>
                <w:szCs w:val="24"/>
              </w:rPr>
              <w:t>回归分析的本质、线性回归模型特征和假设、一元和多元线性回归模型的设定、回归分析、模型检验和应用等；三是违背经典假设下的计量经济学模型修正，主要介绍异方差、序列相关、多重共线性等建模现象、成因、检验和修正方法以及虚拟变量在计量模型中的引入和设置原则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学习方法</w:t>
            </w:r>
          </w:p>
        </w:tc>
        <w:tc>
          <w:tcPr>
            <w:tcW w:w="6553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课程采取课前利用互联网平台发布学习资料，引导学生熟悉课堂内容并带着问题上课；课中结合案例教学和师生研讨等教学手段，根据“知识点引入-案例启发或成语典故介绍—专业知识讲授-典型模型和方法论演示—课堂研讨—教学总结”等流程传授专业知识，同时潜移默化融入课堂思政思想；课后加强Moodle和微助教等网络互动和作业测试，让学生巩固课程思政思想，同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设立学生建模小组，让学生在团队合作中实践课程思政理念，并纳入课程多元考核体系。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MTZkMDQzNmI1ZDFmZDNhZWFmMDFmZGEyMjNiODIifQ=="/>
  </w:docVars>
  <w:rsids>
    <w:rsidRoot w:val="00000000"/>
    <w:rsid w:val="10FD1C16"/>
    <w:rsid w:val="1F8A3D61"/>
    <w:rsid w:val="27B84691"/>
    <w:rsid w:val="2B361B54"/>
    <w:rsid w:val="2F4849FF"/>
    <w:rsid w:val="33382C64"/>
    <w:rsid w:val="45B80572"/>
    <w:rsid w:val="461753E0"/>
    <w:rsid w:val="483D75D9"/>
    <w:rsid w:val="4972426D"/>
    <w:rsid w:val="4BCD1C09"/>
    <w:rsid w:val="4D035BA6"/>
    <w:rsid w:val="4E060AEC"/>
    <w:rsid w:val="616109D2"/>
    <w:rsid w:val="68133156"/>
    <w:rsid w:val="6A246578"/>
    <w:rsid w:val="745D741C"/>
    <w:rsid w:val="752A7CAB"/>
    <w:rsid w:val="7E8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625</Characters>
  <Lines>0</Lines>
  <Paragraphs>0</Paragraphs>
  <TotalTime>1</TotalTime>
  <ScaleCrop>false</ScaleCrop>
  <LinksUpToDate>false</LinksUpToDate>
  <CharactersWithSpaces>625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2022-10-14T03:14:08Z</dcterms:created>
  <dc:creator>THF</dc:creator>
  <cp:lastModifiedBy>在路上</cp:lastModifiedBy>
  <dcterms:modified xsi:type="dcterms:W3CDTF">2022-10-14T03:39:51Z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365661CA519C4ACCB9CD27EBE32D8AC0</vt:lpwstr>
  </property>
</Properties>
</file>