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B7A" w:rsidRDefault="00DC3B7A" w:rsidP="00DC3B7A">
      <w:pPr>
        <w:spacing w:line="440" w:lineRule="exact"/>
        <w:ind w:firstLineChars="200" w:firstLine="420"/>
        <w:rPr>
          <w:rFonts w:ascii="仿宋_GB2312" w:eastAsia="仿宋_GB2312" w:hAnsi="仿宋" w:cs="仿宋_GB2312"/>
        </w:rPr>
      </w:pPr>
    </w:p>
    <w:p w:rsidR="00DC3B7A" w:rsidRPr="00DC3B7A" w:rsidRDefault="00DC3B7A" w:rsidP="00DC3B7A">
      <w:pPr>
        <w:spacing w:line="440" w:lineRule="exact"/>
        <w:ind w:firstLineChars="200" w:firstLine="560"/>
        <w:jc w:val="center"/>
        <w:rPr>
          <w:rFonts w:ascii="仿宋_GB2312" w:eastAsia="仿宋_GB2312" w:hAnsi="仿宋" w:cs="仿宋_GB2312"/>
          <w:sz w:val="28"/>
          <w:szCs w:val="28"/>
        </w:rPr>
      </w:pPr>
      <w:bookmarkStart w:id="0" w:name="_GoBack"/>
      <w:bookmarkEnd w:id="0"/>
      <w:r w:rsidRPr="00DC3B7A">
        <w:rPr>
          <w:rFonts w:ascii="仿宋_GB2312" w:eastAsia="仿宋_GB2312" w:hAnsi="仿宋" w:cs="仿宋_GB2312" w:hint="eastAsia"/>
          <w:sz w:val="28"/>
          <w:szCs w:val="28"/>
        </w:rPr>
        <w:t>课程介绍</w:t>
      </w:r>
    </w:p>
    <w:p w:rsidR="00DC3B7A" w:rsidRDefault="00DC3B7A" w:rsidP="00DC3B7A">
      <w:pPr>
        <w:spacing w:line="440" w:lineRule="exact"/>
        <w:ind w:firstLineChars="200" w:firstLine="420"/>
        <w:rPr>
          <w:rFonts w:ascii="仿宋_GB2312" w:eastAsia="仿宋_GB2312" w:hAnsi="仿宋" w:cs="仿宋_GB2312"/>
        </w:rPr>
      </w:pPr>
      <w:r w:rsidRPr="00854A83">
        <w:rPr>
          <w:rFonts w:ascii="仿宋_GB2312" w:eastAsia="仿宋_GB2312" w:hAnsi="仿宋" w:cs="仿宋_GB2312" w:hint="eastAsia"/>
        </w:rPr>
        <w:t>《高级财务管理》是面向财务管理专业高年级本科生开设一门的专业必修课，属于该专业的核心课程。课程的目的是使财务管理专业的学生在完成《中级财务管理》课程之后，对财务管理的基本理论、基本技能有较好掌握的基础上，进一步掌握现代财务管理中具有较高综合性、复杂性的知识与技能，以及拓展对财务管理实务前沿及理论前沿的了解，培养学生初步具有战略性、综合性地分析和解决财务管理实际问题的能力。课程的主要任务是完成企业价值评估、企业并购财务管理、企业集团财务管理、国际财务管理以及企业财务危机预警等主要财务管理的基本知识、理论的教学</w:t>
      </w:r>
      <w:r>
        <w:rPr>
          <w:rFonts w:ascii="仿宋_GB2312" w:eastAsia="仿宋_GB2312" w:hAnsi="仿宋" w:cs="仿宋_GB2312" w:hint="eastAsia"/>
        </w:rPr>
        <w:t>。</w:t>
      </w:r>
    </w:p>
    <w:p w:rsidR="00DC3B7A" w:rsidRDefault="00DC3B7A" w:rsidP="00DC3B7A">
      <w:pPr>
        <w:spacing w:line="440" w:lineRule="exact"/>
        <w:ind w:firstLineChars="200" w:firstLine="420"/>
        <w:rPr>
          <w:rFonts w:ascii="仿宋_GB2312" w:eastAsia="仿宋_GB2312" w:hAnsi="仿宋" w:cs="仿宋_GB2312" w:hint="eastAsia"/>
        </w:rPr>
      </w:pPr>
      <w:r>
        <w:rPr>
          <w:rFonts w:ascii="仿宋_GB2312" w:eastAsia="仿宋_GB2312" w:hAnsi="仿宋" w:cs="仿宋_GB2312" w:hint="eastAsia"/>
        </w:rPr>
        <w:t xml:space="preserve"> 课程从2</w:t>
      </w:r>
      <w:r>
        <w:rPr>
          <w:rFonts w:ascii="仿宋_GB2312" w:eastAsia="仿宋_GB2312" w:hAnsi="仿宋" w:cs="仿宋_GB2312"/>
        </w:rPr>
        <w:t>009</w:t>
      </w:r>
      <w:r>
        <w:rPr>
          <w:rFonts w:ascii="仿宋_GB2312" w:eastAsia="仿宋_GB2312" w:hAnsi="仿宋" w:cs="仿宋_GB2312" w:hint="eastAsia"/>
        </w:rPr>
        <w:t>年开设以来，至今已经</w:t>
      </w:r>
      <w:r>
        <w:rPr>
          <w:rFonts w:ascii="仿宋_GB2312" w:eastAsia="仿宋_GB2312" w:hAnsi="仿宋" w:cs="仿宋_GB2312"/>
        </w:rPr>
        <w:t>13</w:t>
      </w:r>
      <w:r>
        <w:rPr>
          <w:rFonts w:ascii="仿宋_GB2312" w:eastAsia="仿宋_GB2312" w:hAnsi="仿宋" w:cs="仿宋_GB2312" w:hint="eastAsia"/>
        </w:rPr>
        <w:t>年，在教学内容、教学方法、教学资源上持续优化，尤其是对</w:t>
      </w:r>
      <w:proofErr w:type="gramStart"/>
      <w:r>
        <w:rPr>
          <w:rFonts w:ascii="仿宋_GB2312" w:eastAsia="仿宋_GB2312" w:hAnsi="仿宋" w:cs="仿宋_GB2312" w:hint="eastAsia"/>
        </w:rPr>
        <w:t>课程思政的</w:t>
      </w:r>
      <w:proofErr w:type="gramEnd"/>
      <w:r>
        <w:rPr>
          <w:rFonts w:ascii="仿宋_GB2312" w:eastAsia="仿宋_GB2312" w:hAnsi="仿宋" w:cs="仿宋_GB2312" w:hint="eastAsia"/>
        </w:rPr>
        <w:t>建设，不断深化，在传授知识、培养能力的同时，对学生的价值观产生了较好的教育作用。</w:t>
      </w:r>
    </w:p>
    <w:p w:rsidR="00DC3B7A" w:rsidRPr="006D6D93" w:rsidRDefault="00DC3B7A" w:rsidP="00DC3B7A">
      <w:pPr>
        <w:spacing w:line="440" w:lineRule="exact"/>
        <w:ind w:firstLineChars="200" w:firstLine="420"/>
        <w:rPr>
          <w:rFonts w:ascii="仿宋_GB2312" w:eastAsia="仿宋_GB2312" w:hAnsi="仿宋"/>
          <w:b/>
        </w:rPr>
      </w:pPr>
      <w:proofErr w:type="gramStart"/>
      <w:r>
        <w:rPr>
          <w:rFonts w:ascii="仿宋_GB2312" w:eastAsia="仿宋_GB2312" w:hAnsi="仿宋" w:cs="仿宋_GB2312" w:hint="eastAsia"/>
          <w:b/>
        </w:rPr>
        <w:t>课程思政目标</w:t>
      </w:r>
      <w:proofErr w:type="gramEnd"/>
      <w:r w:rsidRPr="006D6D93">
        <w:rPr>
          <w:rFonts w:ascii="仿宋_GB2312" w:eastAsia="仿宋_GB2312" w:hAnsi="仿宋" w:cs="仿宋_GB2312" w:hint="eastAsia"/>
          <w:b/>
        </w:rPr>
        <w:t>：通过本课程，在知识传授、能力培养的同时，引导学生进一步树立正确的金钱观、财富观、树立诚信公正的执业精神以及严谨科学的执业态度。</w:t>
      </w:r>
    </w:p>
    <w:p w:rsidR="00262A4B" w:rsidRPr="00DC3B7A" w:rsidRDefault="00262A4B"/>
    <w:sectPr w:rsidR="00262A4B" w:rsidRPr="00DC3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6004D"/>
    <w:multiLevelType w:val="hybridMultilevel"/>
    <w:tmpl w:val="FCDAC8F6"/>
    <w:lvl w:ilvl="0" w:tplc="B80047A6">
      <w:start w:val="1"/>
      <w:numFmt w:val="none"/>
      <w:lvlText w:val="一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7A"/>
    <w:rsid w:val="00262A4B"/>
    <w:rsid w:val="00DC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939CA"/>
  <w15:chartTrackingRefBased/>
  <w15:docId w15:val="{6B9C5F56-F86B-4A28-8A9B-62636F13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B7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qFormat/>
    <w:rsid w:val="00DC3B7A"/>
    <w:pPr>
      <w:ind w:firstLineChars="200" w:firstLine="420"/>
    </w:pPr>
    <w:rPr>
      <w:rFonts w:ascii="Calibri" w:hAnsi="Calibri" w:cs="Calibri"/>
    </w:rPr>
  </w:style>
  <w:style w:type="paragraph" w:styleId="a4">
    <w:name w:val="List Paragraph"/>
    <w:basedOn w:val="a"/>
    <w:uiPriority w:val="34"/>
    <w:qFormat/>
    <w:rsid w:val="00DC3B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2022-10-17T04:43:00Z</dcterms:created>
  <dcterms:modified xsi:type="dcterms:W3CDTF">2022-10-17T04:46:00Z</dcterms:modified>
</cp:coreProperties>
</file>