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8A" w:rsidRPr="00A0078A" w:rsidRDefault="00A0078A" w:rsidP="00A0078A">
      <w:pPr>
        <w:spacing w:line="520" w:lineRule="exact"/>
        <w:ind w:firstLineChars="200" w:firstLine="883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A0078A">
        <w:rPr>
          <w:rFonts w:ascii="仿宋_GB2312" w:eastAsia="仿宋_GB2312" w:hAnsi="仿宋_GB2312" w:cs="仿宋_GB2312"/>
          <w:b/>
          <w:bCs/>
          <w:sz w:val="44"/>
          <w:szCs w:val="44"/>
        </w:rPr>
        <w:t>课程简介</w:t>
      </w:r>
    </w:p>
    <w:p w:rsidR="00A0078A" w:rsidRPr="00C95E58" w:rsidRDefault="00A0078A" w:rsidP="00A0078A">
      <w:pPr>
        <w:spacing w:line="38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u w:val="single"/>
        </w:rPr>
      </w:pPr>
      <w:r w:rsidRPr="00C95E58">
        <w:rPr>
          <w:rFonts w:ascii="仿宋_GB2312" w:eastAsia="仿宋_GB2312" w:hAnsi="仿宋_GB2312" w:cs="仿宋_GB2312" w:hint="eastAsia"/>
          <w:b/>
          <w:bCs/>
          <w:sz w:val="24"/>
        </w:rPr>
        <w:t>1、课程建设发展历程</w:t>
      </w:r>
    </w:p>
    <w:p w:rsidR="00A0078A" w:rsidRDefault="00A0078A" w:rsidP="00A0078A">
      <w:pPr>
        <w:spacing w:line="38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eastAsia="仿宋_GB2312"/>
          <w:sz w:val="24"/>
        </w:rPr>
        <w:t>2002</w:t>
      </w:r>
      <w:r>
        <w:rPr>
          <w:rFonts w:eastAsia="仿宋_GB2312" w:hint="eastAsia"/>
          <w:sz w:val="24"/>
        </w:rPr>
        <w:t>年我校信计专业（数理金融方向）引入该课程教学，</w:t>
      </w:r>
      <w:r>
        <w:rPr>
          <w:rFonts w:eastAsia="仿宋_GB2312"/>
          <w:sz w:val="24"/>
        </w:rPr>
        <w:t>2008</w:t>
      </w:r>
      <w:r>
        <w:rPr>
          <w:rFonts w:eastAsia="仿宋_GB2312" w:hint="eastAsia"/>
          <w:sz w:val="24"/>
        </w:rPr>
        <w:t>年统计学专业（金融统计方向）引入该课程教学，</w:t>
      </w:r>
      <w:r w:rsidRPr="00C95E58">
        <w:rPr>
          <w:rFonts w:eastAsia="仿宋_GB2312" w:hint="eastAsia"/>
          <w:sz w:val="24"/>
        </w:rPr>
        <w:t>20</w:t>
      </w:r>
      <w:r>
        <w:rPr>
          <w:rFonts w:eastAsia="仿宋_GB2312"/>
          <w:sz w:val="24"/>
        </w:rPr>
        <w:t>17</w:t>
      </w:r>
      <w:r w:rsidRPr="00C95E58">
        <w:rPr>
          <w:rFonts w:eastAsia="仿宋_GB2312" w:hint="eastAsia"/>
          <w:sz w:val="24"/>
        </w:rPr>
        <w:t>年我校金融</w:t>
      </w:r>
      <w:r>
        <w:rPr>
          <w:rFonts w:eastAsia="仿宋_GB2312" w:hint="eastAsia"/>
          <w:sz w:val="24"/>
        </w:rPr>
        <w:t>工程</w:t>
      </w:r>
      <w:r w:rsidRPr="00C95E58">
        <w:rPr>
          <w:rFonts w:eastAsia="仿宋_GB2312" w:hint="eastAsia"/>
          <w:sz w:val="24"/>
        </w:rPr>
        <w:t>专业引入该课程</w:t>
      </w:r>
      <w:r>
        <w:rPr>
          <w:rFonts w:eastAsia="仿宋_GB2312" w:hint="eastAsia"/>
          <w:sz w:val="24"/>
        </w:rPr>
        <w:t>作为专业核心课进行</w:t>
      </w:r>
      <w:r w:rsidRPr="00C95E58">
        <w:rPr>
          <w:rFonts w:eastAsia="仿宋_GB2312" w:hint="eastAsia"/>
          <w:sz w:val="24"/>
        </w:rPr>
        <w:t>教学。</w:t>
      </w:r>
      <w:r w:rsidRPr="00C95E58">
        <w:rPr>
          <w:rFonts w:eastAsia="仿宋_GB2312" w:hint="eastAsia"/>
          <w:sz w:val="24"/>
        </w:rPr>
        <w:t>20</w:t>
      </w:r>
      <w:r>
        <w:rPr>
          <w:rFonts w:eastAsia="仿宋_GB2312"/>
          <w:sz w:val="24"/>
        </w:rPr>
        <w:t>08</w:t>
      </w:r>
      <w:r w:rsidRPr="00C95E58">
        <w:rPr>
          <w:rFonts w:eastAsia="仿宋_GB2312" w:hint="eastAsia"/>
          <w:sz w:val="24"/>
        </w:rPr>
        <w:t>年开展研究性教学改革</w:t>
      </w:r>
      <w:r>
        <w:rPr>
          <w:rFonts w:eastAsia="仿宋_GB2312" w:hint="eastAsia"/>
          <w:sz w:val="24"/>
        </w:rPr>
        <w:t>和双语教学改革。</w:t>
      </w:r>
    </w:p>
    <w:p w:rsidR="00A0078A" w:rsidRPr="00CE40DB" w:rsidRDefault="009069D3" w:rsidP="00A0078A">
      <w:pPr>
        <w:spacing w:line="38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/>
          <w:b/>
          <w:bCs/>
          <w:sz w:val="24"/>
        </w:rPr>
        <w:t>2</w:t>
      </w:r>
      <w:r w:rsidR="00A0078A" w:rsidRPr="00CE40DB">
        <w:rPr>
          <w:rFonts w:ascii="仿宋_GB2312" w:eastAsia="仿宋_GB2312" w:hAnsi="仿宋_GB2312" w:cs="仿宋_GB2312" w:hint="eastAsia"/>
          <w:b/>
          <w:bCs/>
          <w:sz w:val="24"/>
        </w:rPr>
        <w:t>、课程内容与资源建设及应用情况：</w:t>
      </w:r>
    </w:p>
    <w:p w:rsidR="00A0078A" w:rsidRDefault="00A0078A" w:rsidP="00A0078A">
      <w:pPr>
        <w:spacing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本课程</w:t>
      </w:r>
      <w:r w:rsidRPr="00CE40DB">
        <w:rPr>
          <w:rFonts w:ascii="仿宋_GB2312" w:eastAsia="仿宋_GB2312" w:hAnsi="仿宋_GB2312" w:cs="仿宋_GB2312" w:hint="eastAsia"/>
          <w:sz w:val="24"/>
        </w:rPr>
        <w:t>采用</w:t>
      </w:r>
      <w:r w:rsidRPr="004A7F0F">
        <w:rPr>
          <w:rFonts w:ascii="仿宋_GB2312" w:eastAsia="仿宋_GB2312" w:hAnsi="仿宋_GB2312" w:cs="仿宋_GB2312" w:hint="eastAsia"/>
          <w:b/>
          <w:sz w:val="24"/>
        </w:rPr>
        <w:t>“课堂讲授+上机实验+课堂研讨”</w:t>
      </w:r>
      <w:r>
        <w:rPr>
          <w:rFonts w:ascii="仿宋_GB2312" w:eastAsia="仿宋_GB2312" w:hAnsi="仿宋_GB2312" w:cs="仿宋_GB2312" w:hint="eastAsia"/>
          <w:sz w:val="24"/>
        </w:rPr>
        <w:t>的</w:t>
      </w:r>
      <w:r w:rsidRPr="004A7F0F">
        <w:rPr>
          <w:rFonts w:ascii="仿宋_GB2312" w:eastAsia="仿宋_GB2312" w:hAnsi="仿宋_GB2312" w:cs="仿宋_GB2312" w:hint="eastAsia"/>
          <w:b/>
          <w:sz w:val="24"/>
        </w:rPr>
        <w:t>双语教学</w:t>
      </w:r>
      <w:r>
        <w:rPr>
          <w:rFonts w:ascii="仿宋_GB2312" w:eastAsia="仿宋_GB2312" w:hAnsi="仿宋_GB2312" w:cs="仿宋_GB2312" w:hint="eastAsia"/>
          <w:sz w:val="24"/>
        </w:rPr>
        <w:t>模式，课程内容与资源建设应用情况如下。</w:t>
      </w:r>
    </w:p>
    <w:p w:rsidR="00A0078A" w:rsidRDefault="00A0078A" w:rsidP="00A0078A">
      <w:pPr>
        <w:spacing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CE40DB">
        <w:rPr>
          <w:rFonts w:ascii="仿宋_GB2312" w:eastAsia="仿宋_GB2312" w:hAnsi="仿宋_GB2312" w:cs="仿宋_GB2312" w:hint="eastAsia"/>
          <w:sz w:val="24"/>
        </w:rPr>
        <w:t>（1）</w:t>
      </w:r>
      <w:r w:rsidRPr="00146F4F">
        <w:rPr>
          <w:rFonts w:ascii="仿宋_GB2312" w:eastAsia="仿宋_GB2312" w:hAnsi="仿宋_GB2312" w:cs="仿宋_GB2312" w:hint="eastAsia"/>
          <w:b/>
          <w:sz w:val="24"/>
        </w:rPr>
        <w:t>课堂讲授知识模块化建设。</w:t>
      </w:r>
      <w:r w:rsidRPr="00CE40DB">
        <w:rPr>
          <w:rFonts w:ascii="仿宋_GB2312" w:eastAsia="仿宋_GB2312" w:hAnsi="仿宋_GB2312" w:cs="仿宋_GB2312" w:hint="eastAsia"/>
          <w:sz w:val="24"/>
        </w:rPr>
        <w:t>重新修订课程教学大纲，</w:t>
      </w:r>
      <w:r>
        <w:rPr>
          <w:rFonts w:ascii="仿宋_GB2312" w:eastAsia="仿宋_GB2312" w:hAnsi="仿宋_GB2312" w:cs="仿宋_GB2312" w:hint="eastAsia"/>
          <w:sz w:val="24"/>
        </w:rPr>
        <w:t>将知识体系模块化，</w:t>
      </w:r>
      <w:r w:rsidRPr="00CE40DB">
        <w:rPr>
          <w:rFonts w:ascii="仿宋_GB2312" w:eastAsia="仿宋_GB2312" w:hAnsi="仿宋_GB2312" w:cs="仿宋_GB2312" w:hint="eastAsia"/>
          <w:sz w:val="24"/>
        </w:rPr>
        <w:t>同步更新PPT课件、教案、习题</w:t>
      </w:r>
      <w:r>
        <w:rPr>
          <w:rFonts w:ascii="仿宋_GB2312" w:eastAsia="仿宋_GB2312" w:hAnsi="仿宋_GB2312" w:cs="仿宋_GB2312" w:hint="eastAsia"/>
          <w:sz w:val="24"/>
        </w:rPr>
        <w:t>，</w:t>
      </w:r>
      <w:r w:rsidRPr="00CE40DB">
        <w:rPr>
          <w:rFonts w:ascii="仿宋_GB2312" w:eastAsia="仿宋_GB2312" w:hAnsi="仿宋_GB2312" w:cs="仿宋_GB2312" w:hint="eastAsia"/>
          <w:sz w:val="24"/>
        </w:rPr>
        <w:t>减少数理推导学时，多个核心知识模块融入思政教学内容。</w:t>
      </w:r>
    </w:p>
    <w:p w:rsidR="00A0078A" w:rsidRDefault="00A0078A" w:rsidP="00A0078A">
      <w:pPr>
        <w:spacing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</w:t>
      </w:r>
      <w:r w:rsidRPr="00146F4F">
        <w:rPr>
          <w:rFonts w:ascii="仿宋_GB2312" w:eastAsia="仿宋_GB2312" w:hAnsi="仿宋_GB2312" w:cs="仿宋_GB2312" w:hint="eastAsia"/>
          <w:b/>
          <w:sz w:val="24"/>
        </w:rPr>
        <w:t>实验课程多元化建设。</w:t>
      </w:r>
      <w:r>
        <w:rPr>
          <w:rFonts w:ascii="仿宋_GB2312" w:eastAsia="仿宋_GB2312" w:hAnsi="仿宋_GB2312" w:cs="仿宋_GB2312" w:hint="eastAsia"/>
          <w:sz w:val="24"/>
        </w:rPr>
        <w:t>配合知识模块编制相应的实验指导书，涉及多种实验软件，如EXCEL、Matlab、lingo软件，解决不同模块下的实际问题。</w:t>
      </w:r>
    </w:p>
    <w:p w:rsidR="00A0078A" w:rsidRDefault="00A0078A" w:rsidP="00A0078A">
      <w:pPr>
        <w:spacing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（3）</w:t>
      </w:r>
      <w:r w:rsidRPr="00146F4F">
        <w:rPr>
          <w:rFonts w:ascii="仿宋_GB2312" w:eastAsia="仿宋_GB2312" w:hAnsi="仿宋_GB2312" w:cs="仿宋_GB2312" w:hint="eastAsia"/>
          <w:b/>
          <w:sz w:val="24"/>
        </w:rPr>
        <w:t>专业应用案例和研究课题高质量建设。</w:t>
      </w:r>
      <w:r>
        <w:rPr>
          <w:rFonts w:ascii="仿宋_GB2312" w:eastAsia="仿宋_GB2312" w:hAnsi="仿宋_GB2312" w:cs="仿宋_GB2312" w:hint="eastAsia"/>
          <w:sz w:val="24"/>
        </w:rPr>
        <w:t>配合知识模块搜集相应的高质量经济、金融案例和研究选题参考，整理成教学案例、选题素材库。</w:t>
      </w:r>
    </w:p>
    <w:p w:rsidR="00A0078A" w:rsidRPr="00A0078A" w:rsidRDefault="00A0078A" w:rsidP="00A0078A">
      <w:pPr>
        <w:spacing w:line="38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（4）</w:t>
      </w:r>
      <w:r w:rsidRPr="00146F4F">
        <w:rPr>
          <w:rFonts w:ascii="仿宋_GB2312" w:eastAsia="仿宋_GB2312" w:hAnsi="仿宋_GB2312" w:cs="仿宋_GB2312" w:hint="eastAsia"/>
          <w:b/>
          <w:sz w:val="24"/>
        </w:rPr>
        <w:t>双语资源建设。</w:t>
      </w:r>
      <w:r>
        <w:rPr>
          <w:rFonts w:ascii="仿宋_GB2312" w:eastAsia="仿宋_GB2312" w:hAnsi="仿宋_GB2312" w:cs="仿宋_GB2312" w:hint="eastAsia"/>
          <w:sz w:val="24"/>
        </w:rPr>
        <w:t>双语资源贯穿整个教学过程，包括经典英文教材、英文ppt、英文习题库、实验软件的英文操作环境、英文案例库以及英文考题等等。</w:t>
      </w:r>
    </w:p>
    <w:p w:rsidR="00A0078A" w:rsidRPr="00391673" w:rsidRDefault="009069D3" w:rsidP="00A0078A">
      <w:pPr>
        <w:spacing w:line="380" w:lineRule="exact"/>
        <w:ind w:firstLineChars="200" w:firstLine="482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>3</w:t>
      </w:r>
      <w:r w:rsidR="00A0078A" w:rsidRPr="00391673">
        <w:rPr>
          <w:rFonts w:ascii="Times New Roman" w:eastAsia="仿宋_GB2312" w:hAnsi="Times New Roman" w:hint="eastAsia"/>
          <w:b/>
          <w:bCs/>
          <w:sz w:val="24"/>
        </w:rPr>
        <w:t>、课程教学内容及组织实施情况：</w:t>
      </w:r>
    </w:p>
    <w:p w:rsidR="00A0078A" w:rsidRPr="00B84C0D" w:rsidRDefault="00A0078A" w:rsidP="00A0078A">
      <w:pPr>
        <w:spacing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84C0D">
        <w:rPr>
          <w:rFonts w:ascii="仿宋_GB2312" w:eastAsia="仿宋_GB2312" w:hAnsi="仿宋_GB2312" w:cs="仿宋_GB2312" w:hint="eastAsia"/>
          <w:sz w:val="24"/>
        </w:rPr>
        <w:t>课程教学内容分为</w:t>
      </w:r>
      <w:r>
        <w:rPr>
          <w:rFonts w:ascii="仿宋_GB2312" w:eastAsia="仿宋_GB2312" w:hAnsi="仿宋_GB2312" w:cs="仿宋_GB2312" w:hint="eastAsia"/>
          <w:sz w:val="24"/>
        </w:rPr>
        <w:t>三</w:t>
      </w:r>
      <w:r w:rsidRPr="00B84C0D">
        <w:rPr>
          <w:rFonts w:ascii="仿宋_GB2312" w:eastAsia="仿宋_GB2312" w:hAnsi="仿宋_GB2312" w:cs="仿宋_GB2312" w:hint="eastAsia"/>
          <w:sz w:val="24"/>
        </w:rPr>
        <w:t>阶段组织实施：</w:t>
      </w:r>
    </w:p>
    <w:p w:rsidR="00A0078A" w:rsidRPr="00B84C0D" w:rsidRDefault="00A0078A" w:rsidP="00A0078A">
      <w:pPr>
        <w:spacing w:line="380" w:lineRule="exact"/>
        <w:ind w:firstLine="430"/>
        <w:rPr>
          <w:rFonts w:ascii="仿宋_GB2312" w:eastAsia="仿宋_GB2312" w:hAnsi="仿宋_GB2312" w:cs="仿宋_GB2312"/>
          <w:sz w:val="24"/>
        </w:rPr>
      </w:pPr>
      <w:r w:rsidRPr="00B84C0D">
        <w:rPr>
          <w:rFonts w:ascii="仿宋_GB2312" w:eastAsia="仿宋_GB2312" w:hAnsi="仿宋_GB2312" w:cs="仿宋_GB2312" w:hint="eastAsia"/>
          <w:sz w:val="24"/>
        </w:rPr>
        <w:t>（1）</w:t>
      </w:r>
      <w:r>
        <w:rPr>
          <w:rFonts w:ascii="仿宋_GB2312" w:eastAsia="仿宋_GB2312" w:hAnsi="仿宋_GB2312" w:cs="仿宋_GB2312" w:hint="eastAsia"/>
          <w:sz w:val="24"/>
        </w:rPr>
        <w:t>数学模型</w:t>
      </w:r>
      <w:r w:rsidRPr="00B84C0D">
        <w:rPr>
          <w:rFonts w:ascii="仿宋_GB2312" w:eastAsia="仿宋_GB2312" w:hAnsi="仿宋_GB2312" w:cs="仿宋_GB2312"/>
          <w:sz w:val="24"/>
        </w:rPr>
        <w:t>初识</w:t>
      </w:r>
      <w:r>
        <w:rPr>
          <w:rFonts w:ascii="仿宋_GB2312" w:eastAsia="仿宋_GB2312" w:hAnsi="仿宋_GB2312" w:cs="仿宋_GB2312" w:hint="eastAsia"/>
          <w:sz w:val="24"/>
        </w:rPr>
        <w:t>和</w:t>
      </w:r>
      <w:r w:rsidRPr="00B84C0D">
        <w:rPr>
          <w:rFonts w:ascii="仿宋_GB2312" w:eastAsia="仿宋_GB2312" w:hAnsi="仿宋_GB2312" w:cs="仿宋_GB2312" w:hint="eastAsia"/>
          <w:sz w:val="24"/>
        </w:rPr>
        <w:t>内化</w:t>
      </w:r>
      <w:r w:rsidRPr="00B84C0D">
        <w:rPr>
          <w:rFonts w:ascii="仿宋_GB2312" w:eastAsia="仿宋_GB2312" w:hAnsi="仿宋_GB2312" w:cs="仿宋_GB2312"/>
          <w:sz w:val="24"/>
        </w:rPr>
        <w:t>阶段</w:t>
      </w:r>
      <w:r w:rsidRPr="00B84C0D">
        <w:rPr>
          <w:rFonts w:ascii="仿宋_GB2312" w:eastAsia="仿宋_GB2312" w:hAnsi="仿宋_GB2312" w:cs="仿宋_GB2312" w:hint="eastAsia"/>
          <w:sz w:val="24"/>
        </w:rPr>
        <w:t>：通过</w:t>
      </w:r>
      <w:r>
        <w:rPr>
          <w:rFonts w:ascii="仿宋_GB2312" w:eastAsia="仿宋_GB2312" w:hAnsi="仿宋_GB2312" w:cs="仿宋_GB2312" w:hint="eastAsia"/>
          <w:sz w:val="24"/>
        </w:rPr>
        <w:t>学生课外预习、课堂理论讲授和课后习题，进行</w:t>
      </w:r>
      <w:r w:rsidRPr="00B84C0D">
        <w:rPr>
          <w:rFonts w:ascii="仿宋_GB2312" w:eastAsia="仿宋_GB2312" w:hAnsi="仿宋_GB2312" w:cs="仿宋_GB2312" w:hint="eastAsia"/>
          <w:sz w:val="24"/>
        </w:rPr>
        <w:t>基本理论</w:t>
      </w:r>
      <w:r>
        <w:rPr>
          <w:rFonts w:ascii="仿宋_GB2312" w:eastAsia="仿宋_GB2312" w:hAnsi="仿宋_GB2312" w:cs="仿宋_GB2312" w:hint="eastAsia"/>
          <w:sz w:val="24"/>
        </w:rPr>
        <w:t>、方法讲授和</w:t>
      </w:r>
      <w:r w:rsidRPr="00B84C0D">
        <w:rPr>
          <w:rFonts w:ascii="仿宋_GB2312" w:eastAsia="仿宋_GB2312" w:hAnsi="仿宋_GB2312" w:cs="仿宋_GB2312" w:hint="eastAsia"/>
          <w:sz w:val="24"/>
        </w:rPr>
        <w:t>重难点解析；</w:t>
      </w:r>
    </w:p>
    <w:p w:rsidR="00A0078A" w:rsidRPr="00B84C0D" w:rsidRDefault="00A0078A" w:rsidP="00A0078A">
      <w:pPr>
        <w:spacing w:line="380" w:lineRule="exact"/>
        <w:ind w:firstLine="430"/>
        <w:rPr>
          <w:rFonts w:ascii="仿宋_GB2312" w:eastAsia="仿宋_GB2312" w:hAnsi="仿宋_GB2312" w:cs="仿宋_GB2312"/>
          <w:sz w:val="24"/>
        </w:rPr>
      </w:pPr>
      <w:r w:rsidRPr="00B84C0D">
        <w:rPr>
          <w:rFonts w:ascii="仿宋_GB2312" w:eastAsia="仿宋_GB2312" w:hAnsi="仿宋_GB2312" w:cs="仿宋_GB2312" w:hint="eastAsia"/>
          <w:sz w:val="24"/>
        </w:rPr>
        <w:t>（2）</w:t>
      </w:r>
      <w:r>
        <w:rPr>
          <w:rFonts w:ascii="仿宋_GB2312" w:eastAsia="仿宋_GB2312" w:hAnsi="仿宋_GB2312" w:cs="仿宋_GB2312" w:hint="eastAsia"/>
          <w:sz w:val="24"/>
        </w:rPr>
        <w:t>专业应用的知识</w:t>
      </w:r>
      <w:r w:rsidRPr="00B84C0D">
        <w:rPr>
          <w:rFonts w:ascii="仿宋_GB2312" w:eastAsia="仿宋_GB2312" w:hAnsi="仿宋_GB2312" w:cs="仿宋_GB2312" w:hint="eastAsia"/>
          <w:sz w:val="24"/>
        </w:rPr>
        <w:t>升华阶段：通过研讨教学，进行</w:t>
      </w:r>
      <w:r>
        <w:rPr>
          <w:rFonts w:ascii="仿宋_GB2312" w:eastAsia="仿宋_GB2312" w:hAnsi="仿宋_GB2312" w:cs="仿宋_GB2312" w:hint="eastAsia"/>
          <w:sz w:val="24"/>
        </w:rPr>
        <w:t>经济金融案例小组研讨和</w:t>
      </w:r>
      <w:r w:rsidRPr="00B84C0D">
        <w:rPr>
          <w:rFonts w:ascii="仿宋_GB2312" w:eastAsia="仿宋_GB2312" w:hAnsi="仿宋_GB2312" w:cs="仿宋_GB2312" w:hint="eastAsia"/>
          <w:sz w:val="24"/>
        </w:rPr>
        <w:t>课题研究；</w:t>
      </w:r>
    </w:p>
    <w:p w:rsidR="00A0078A" w:rsidRPr="00B84C0D" w:rsidRDefault="00A0078A" w:rsidP="00A0078A">
      <w:pPr>
        <w:spacing w:line="380" w:lineRule="exact"/>
        <w:ind w:firstLine="430"/>
        <w:rPr>
          <w:rFonts w:ascii="仿宋_GB2312" w:eastAsia="仿宋_GB2312" w:hAnsi="仿宋_GB2312" w:cs="仿宋_GB2312"/>
          <w:sz w:val="24"/>
        </w:rPr>
      </w:pPr>
      <w:r w:rsidRPr="00B84C0D">
        <w:rPr>
          <w:rFonts w:ascii="仿宋_GB2312" w:eastAsia="仿宋_GB2312" w:hAnsi="仿宋_GB2312" w:cs="仿宋_GB2312" w:hint="eastAsia"/>
          <w:sz w:val="24"/>
        </w:rPr>
        <w:t>（3）</w:t>
      </w:r>
      <w:r>
        <w:rPr>
          <w:rFonts w:ascii="仿宋_GB2312" w:eastAsia="仿宋_GB2312" w:hAnsi="仿宋_GB2312" w:cs="仿宋_GB2312" w:hint="eastAsia"/>
          <w:sz w:val="24"/>
        </w:rPr>
        <w:t>实验操作</w:t>
      </w:r>
      <w:r w:rsidRPr="00B84C0D">
        <w:rPr>
          <w:rFonts w:ascii="仿宋_GB2312" w:eastAsia="仿宋_GB2312" w:hAnsi="仿宋_GB2312" w:cs="仿宋_GB2312" w:hint="eastAsia"/>
          <w:sz w:val="24"/>
        </w:rPr>
        <w:t>阶段：实验课时进行</w:t>
      </w:r>
      <w:r w:rsidRPr="00521B4D">
        <w:rPr>
          <w:rFonts w:ascii="仿宋_GB2312" w:eastAsia="仿宋_GB2312" w:hAnsi="仿宋_GB2312" w:cs="仿宋_GB2312" w:hint="eastAsia"/>
          <w:sz w:val="24"/>
        </w:rPr>
        <w:t>EXCEL、MATLAB、LINGO实践操作</w:t>
      </w:r>
      <w:r w:rsidRPr="00B84C0D">
        <w:rPr>
          <w:rFonts w:ascii="仿宋_GB2312" w:eastAsia="仿宋_GB2312" w:hAnsi="仿宋_GB2312" w:cs="仿宋_GB2312" w:hint="eastAsia"/>
          <w:sz w:val="24"/>
        </w:rPr>
        <w:t>学习，利用软件解决实际问题。</w:t>
      </w:r>
    </w:p>
    <w:p w:rsidR="00A0078A" w:rsidRDefault="00A0078A" w:rsidP="00A0078A">
      <w:pPr>
        <w:spacing w:line="380" w:lineRule="exact"/>
        <w:ind w:firstLine="430"/>
        <w:rPr>
          <w:rFonts w:ascii="仿宋_GB2312" w:eastAsia="仿宋_GB2312" w:hAnsi="仿宋_GB2312" w:cs="仿宋_GB2312"/>
          <w:sz w:val="24"/>
        </w:rPr>
      </w:pPr>
      <w:r w:rsidRPr="00B84C0D">
        <w:rPr>
          <w:rFonts w:ascii="仿宋_GB2312" w:eastAsia="仿宋_GB2312" w:hAnsi="仿宋_GB2312" w:cs="仿宋_GB2312" w:hint="eastAsia"/>
          <w:sz w:val="24"/>
        </w:rPr>
        <w:t>具体学时安排如表</w:t>
      </w:r>
      <w:r>
        <w:rPr>
          <w:rFonts w:ascii="仿宋_GB2312" w:eastAsia="仿宋_GB2312" w:hAnsi="仿宋_GB2312" w:cs="仿宋_GB2312" w:hint="eastAsia"/>
          <w:sz w:val="24"/>
        </w:rPr>
        <w:t>2</w:t>
      </w:r>
      <w:r w:rsidRPr="00B84C0D">
        <w:rPr>
          <w:rFonts w:ascii="仿宋_GB2312" w:eastAsia="仿宋_GB2312" w:hAnsi="仿宋_GB2312" w:cs="仿宋_GB2312" w:hint="eastAsia"/>
          <w:sz w:val="24"/>
        </w:rPr>
        <w:t>所示。</w:t>
      </w:r>
    </w:p>
    <w:tbl>
      <w:tblPr>
        <w:tblStyle w:val="6-11"/>
        <w:tblpPr w:leftFromText="180" w:rightFromText="180" w:vertAnchor="text" w:horzAnchor="margin" w:tblpY="384"/>
        <w:tblOverlap w:val="never"/>
        <w:tblW w:w="8369" w:type="dxa"/>
        <w:tblLayout w:type="fixed"/>
        <w:tblLook w:val="0000" w:firstRow="0" w:lastRow="0" w:firstColumn="0" w:lastColumn="0" w:noHBand="0" w:noVBand="0"/>
      </w:tblPr>
      <w:tblGrid>
        <w:gridCol w:w="2132"/>
        <w:gridCol w:w="1134"/>
        <w:gridCol w:w="1701"/>
        <w:gridCol w:w="1134"/>
        <w:gridCol w:w="664"/>
        <w:gridCol w:w="1604"/>
      </w:tblGrid>
      <w:tr w:rsidR="00A0078A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Merge w:val="restart"/>
            <w:vAlign w:val="center"/>
          </w:tcPr>
          <w:p w:rsidR="00A0078A" w:rsidRPr="00F969D8" w:rsidRDefault="00A0078A" w:rsidP="004E2F60">
            <w:pPr>
              <w:spacing w:line="300" w:lineRule="exact"/>
              <w:ind w:firstLine="422"/>
              <w:jc w:val="center"/>
              <w:rPr>
                <w:rFonts w:eastAsia="仿宋_GB2312"/>
                <w:b/>
                <w:bCs/>
              </w:rPr>
            </w:pPr>
            <w:r w:rsidRPr="00F969D8">
              <w:rPr>
                <w:rFonts w:eastAsia="仿宋_GB2312" w:hint="eastAsia"/>
                <w:b/>
                <w:bCs/>
              </w:rPr>
              <w:t>教学模块</w:t>
            </w:r>
          </w:p>
        </w:tc>
        <w:tc>
          <w:tcPr>
            <w:tcW w:w="4633" w:type="dxa"/>
            <w:gridSpan w:val="4"/>
            <w:vAlign w:val="center"/>
          </w:tcPr>
          <w:p w:rsidR="00A0078A" w:rsidRPr="00B84C0D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b/>
                <w:bCs/>
              </w:rPr>
            </w:pPr>
            <w:r w:rsidRPr="00B84C0D">
              <w:rPr>
                <w:rFonts w:eastAsia="仿宋_GB2312" w:hint="eastAsia"/>
                <w:b/>
                <w:bCs/>
              </w:rPr>
              <w:t>课内学时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vAlign w:val="center"/>
          </w:tcPr>
          <w:p w:rsidR="00A0078A" w:rsidRPr="00B84C0D" w:rsidRDefault="00A0078A" w:rsidP="004E2F6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 w:rsidRPr="00B84C0D">
              <w:rPr>
                <w:rFonts w:eastAsia="仿宋_GB2312" w:hint="eastAsia"/>
                <w:b/>
                <w:bCs/>
              </w:rPr>
              <w:t>课外学时</w:t>
            </w:r>
          </w:p>
        </w:tc>
      </w:tr>
      <w:tr w:rsidR="00A0078A" w:rsidTr="004E2F60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理论讲授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上机实验</w:t>
            </w:r>
          </w:p>
        </w:tc>
        <w:tc>
          <w:tcPr>
            <w:tcW w:w="1134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课堂研讨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小计</w:t>
            </w:r>
          </w:p>
        </w:tc>
        <w:tc>
          <w:tcPr>
            <w:tcW w:w="1604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预习、复习、文献阅读以及建模课题研究</w:t>
            </w:r>
          </w:p>
        </w:tc>
      </w:tr>
      <w:tr w:rsidR="00A0078A" w:rsidRPr="006A15AF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理论及方法介绍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EXCEL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MATLAB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LINGO</w:t>
            </w:r>
            <w:r>
              <w:rPr>
                <w:rFonts w:eastAsia="仿宋_GB2312" w:hint="eastAsia"/>
              </w:rPr>
              <w:t>实践操作</w:t>
            </w:r>
          </w:p>
        </w:tc>
        <w:tc>
          <w:tcPr>
            <w:tcW w:w="1134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案例讨论及小组课题研究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</w:p>
        </w:tc>
      </w:tr>
      <w:tr w:rsidR="00A0078A" w:rsidTr="004E2F60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差分方程模型</w:t>
            </w:r>
          </w:p>
        </w:tc>
        <w:tc>
          <w:tcPr>
            <w:tcW w:w="113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kern w:val="0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24</w:t>
            </w:r>
          </w:p>
        </w:tc>
        <w:tc>
          <w:tcPr>
            <w:tcW w:w="1604" w:type="dxa"/>
            <w:tcBorders>
              <w:top w:val="single" w:sz="8" w:space="0" w:color="9CC2E5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kern w:val="0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12</w:t>
            </w:r>
          </w:p>
        </w:tc>
      </w:tr>
      <w:tr w:rsidR="00A0078A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模型拟合</w:t>
            </w:r>
          </w:p>
        </w:tc>
        <w:tc>
          <w:tcPr>
            <w:tcW w:w="113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8</w:t>
            </w:r>
          </w:p>
        </w:tc>
      </w:tr>
      <w:tr w:rsidR="00A0078A" w:rsidTr="004E2F60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tabs>
                <w:tab w:val="left" w:pos="4770"/>
              </w:tabs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蒙特卡洛模拟</w:t>
            </w:r>
          </w:p>
        </w:tc>
        <w:tc>
          <w:tcPr>
            <w:tcW w:w="113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10</w:t>
            </w:r>
          </w:p>
        </w:tc>
      </w:tr>
      <w:tr w:rsidR="00A0078A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tabs>
                <w:tab w:val="left" w:pos="4770"/>
              </w:tabs>
              <w:spacing w:line="3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线性规划模型</w:t>
            </w:r>
          </w:p>
        </w:tc>
        <w:tc>
          <w:tcPr>
            <w:tcW w:w="113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12</w:t>
            </w:r>
          </w:p>
        </w:tc>
      </w:tr>
      <w:tr w:rsidR="00A0078A" w:rsidTr="004E2F60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图论模型</w:t>
            </w:r>
          </w:p>
        </w:tc>
        <w:tc>
          <w:tcPr>
            <w:tcW w:w="113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 w:val="restart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14</w:t>
            </w:r>
          </w:p>
        </w:tc>
      </w:tr>
      <w:tr w:rsidR="00A0078A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lastRenderedPageBreak/>
              <w:t>决策论模型</w:t>
            </w:r>
          </w:p>
        </w:tc>
        <w:tc>
          <w:tcPr>
            <w:tcW w:w="113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14</w:t>
            </w:r>
          </w:p>
        </w:tc>
      </w:tr>
      <w:tr w:rsidR="00A0078A" w:rsidTr="004E2F60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微分方程（组）模型</w:t>
            </w:r>
          </w:p>
        </w:tc>
        <w:tc>
          <w:tcPr>
            <w:tcW w:w="113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Merge/>
            <w:vAlign w:val="center"/>
          </w:tcPr>
          <w:p w:rsidR="00A0078A" w:rsidRDefault="00A0078A" w:rsidP="004E2F60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14</w:t>
            </w:r>
          </w:p>
        </w:tc>
      </w:tr>
      <w:tr w:rsidR="00A0078A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vAlign w:val="center"/>
          </w:tcPr>
          <w:p w:rsidR="00A0078A" w:rsidRPr="00C00C85" w:rsidRDefault="00A0078A" w:rsidP="004E2F60">
            <w:pPr>
              <w:spacing w:line="300" w:lineRule="exact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合计</w:t>
            </w:r>
          </w:p>
        </w:tc>
        <w:tc>
          <w:tcPr>
            <w:tcW w:w="1134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1</w:t>
            </w:r>
            <w:r>
              <w:rPr>
                <w:rFonts w:eastAsia="仿宋_GB2312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b/>
                <w:bCs/>
              </w:rPr>
            </w:pPr>
            <w:r w:rsidRPr="00C00C85">
              <w:rPr>
                <w:rFonts w:eastAsia="仿宋_GB2312" w:hint="eastAsia"/>
                <w:b/>
                <w:bCs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" w:type="dxa"/>
            <w:vAlign w:val="center"/>
          </w:tcPr>
          <w:p w:rsidR="00A0078A" w:rsidRPr="00C00C85" w:rsidRDefault="00A0078A" w:rsidP="004E2F60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000000" w:fill="DEEAF6"/>
            <w:vAlign w:val="center"/>
          </w:tcPr>
          <w:p w:rsidR="00A0078A" w:rsidRDefault="00A0078A" w:rsidP="004E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E74B5"/>
                <w:szCs w:val="21"/>
              </w:rPr>
            </w:pPr>
            <w:r>
              <w:rPr>
                <w:rFonts w:cs="Calibri"/>
                <w:color w:val="2E74B5"/>
                <w:szCs w:val="21"/>
              </w:rPr>
              <w:t>84</w:t>
            </w:r>
          </w:p>
        </w:tc>
      </w:tr>
    </w:tbl>
    <w:p w:rsidR="008E3833" w:rsidRPr="00FE0EE3" w:rsidRDefault="008E3833" w:rsidP="008E3833">
      <w:pPr>
        <w:spacing w:line="340" w:lineRule="atLeast"/>
        <w:ind w:firstLineChars="200" w:firstLine="482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>4</w:t>
      </w:r>
      <w:r w:rsidRPr="00FE0EE3">
        <w:rPr>
          <w:rFonts w:ascii="Times New Roman" w:eastAsia="仿宋_GB2312" w:hAnsi="Times New Roman" w:hint="eastAsia"/>
          <w:b/>
          <w:bCs/>
          <w:sz w:val="24"/>
        </w:rPr>
        <w:t>、</w:t>
      </w:r>
      <w:r w:rsidRPr="00FE0EE3">
        <w:rPr>
          <w:rFonts w:ascii="Times New Roman" w:eastAsia="仿宋_GB2312" w:hAnsi="Times New Roman"/>
          <w:b/>
          <w:bCs/>
          <w:sz w:val="24"/>
        </w:rPr>
        <w:t>课程成绩评定方式</w:t>
      </w:r>
    </w:p>
    <w:p w:rsidR="008E3833" w:rsidRDefault="008E3833" w:rsidP="008E3833">
      <w:pPr>
        <w:spacing w:line="340" w:lineRule="atLeast"/>
        <w:ind w:firstLineChars="200" w:firstLine="480"/>
        <w:rPr>
          <w:rFonts w:ascii="Times New Roman" w:eastAsia="仿宋_GB2312" w:hAnsi="Times New Roman"/>
          <w:sz w:val="24"/>
        </w:rPr>
      </w:pPr>
      <w:r w:rsidRPr="00C5722E">
        <w:rPr>
          <w:rFonts w:ascii="Times New Roman" w:eastAsia="仿宋_GB2312" w:hAnsi="Times New Roman" w:hint="eastAsia"/>
          <w:sz w:val="24"/>
        </w:rPr>
        <w:t>课程采用了“知识</w:t>
      </w:r>
      <w:r w:rsidRPr="00C5722E">
        <w:rPr>
          <w:rFonts w:ascii="Times New Roman" w:eastAsia="仿宋_GB2312" w:hAnsi="Times New Roman" w:hint="eastAsia"/>
          <w:sz w:val="24"/>
        </w:rPr>
        <w:t>+</w:t>
      </w:r>
      <w:r w:rsidRPr="00C5722E">
        <w:rPr>
          <w:rFonts w:ascii="Times New Roman" w:eastAsia="仿宋_GB2312" w:hAnsi="Times New Roman" w:hint="eastAsia"/>
          <w:sz w:val="24"/>
        </w:rPr>
        <w:t>能力</w:t>
      </w:r>
      <w:r w:rsidRPr="00C5722E">
        <w:rPr>
          <w:rFonts w:ascii="Times New Roman" w:eastAsia="仿宋_GB2312" w:hAnsi="Times New Roman" w:hint="eastAsia"/>
          <w:sz w:val="24"/>
        </w:rPr>
        <w:t>+</w:t>
      </w:r>
      <w:r w:rsidRPr="00C5722E">
        <w:rPr>
          <w:rFonts w:ascii="Times New Roman" w:eastAsia="仿宋_GB2312" w:hAnsi="Times New Roman" w:hint="eastAsia"/>
          <w:sz w:val="24"/>
        </w:rPr>
        <w:t>素质”的多元化成绩评价方式（见</w:t>
      </w:r>
      <w:r>
        <w:rPr>
          <w:rFonts w:ascii="Times New Roman" w:eastAsia="仿宋_GB2312" w:hAnsi="Times New Roman" w:hint="eastAsia"/>
          <w:sz w:val="24"/>
        </w:rPr>
        <w:t>表</w:t>
      </w:r>
      <w:r>
        <w:rPr>
          <w:rFonts w:ascii="Times New Roman" w:eastAsia="仿宋_GB2312" w:hAnsi="Times New Roman" w:hint="eastAsia"/>
          <w:sz w:val="24"/>
        </w:rPr>
        <w:t>3</w:t>
      </w:r>
      <w:r w:rsidRPr="00C5722E">
        <w:rPr>
          <w:rFonts w:ascii="Times New Roman" w:eastAsia="仿宋_GB2312" w:hAnsi="Times New Roman" w:hint="eastAsia"/>
          <w:sz w:val="24"/>
        </w:rPr>
        <w:t>）。</w:t>
      </w:r>
    </w:p>
    <w:p w:rsidR="008E3833" w:rsidRDefault="008E3833" w:rsidP="008E3833">
      <w:pPr>
        <w:spacing w:beforeLines="50" w:before="156" w:line="320" w:lineRule="exact"/>
        <w:ind w:firstLine="431"/>
        <w:jc w:val="center"/>
        <w:rPr>
          <w:b/>
          <w:bCs/>
          <w:sz w:val="18"/>
          <w:szCs w:val="18"/>
        </w:rPr>
      </w:pPr>
      <w:r w:rsidRPr="00A217C7">
        <w:rPr>
          <w:rFonts w:hint="eastAsia"/>
          <w:b/>
          <w:bCs/>
          <w:sz w:val="18"/>
          <w:szCs w:val="18"/>
        </w:rPr>
        <w:t>表</w:t>
      </w:r>
      <w:r>
        <w:rPr>
          <w:rFonts w:hint="eastAsia"/>
          <w:b/>
          <w:bCs/>
          <w:sz w:val="18"/>
          <w:szCs w:val="18"/>
        </w:rPr>
        <w:t xml:space="preserve">3  </w:t>
      </w:r>
      <w:r w:rsidRPr="00A217C7">
        <w:rPr>
          <w:rFonts w:hint="eastAsia"/>
          <w:b/>
          <w:bCs/>
          <w:sz w:val="18"/>
          <w:szCs w:val="18"/>
        </w:rPr>
        <w:t>教学内容及其对应学时安排</w:t>
      </w:r>
    </w:p>
    <w:p w:rsidR="008E3833" w:rsidRPr="004A7F0F" w:rsidRDefault="008E3833" w:rsidP="008E3833">
      <w:pPr>
        <w:spacing w:beforeLines="50" w:before="156" w:line="320" w:lineRule="exact"/>
        <w:rPr>
          <w:b/>
          <w:bCs/>
          <w:sz w:val="18"/>
          <w:szCs w:val="18"/>
        </w:rPr>
      </w:pPr>
    </w:p>
    <w:tbl>
      <w:tblPr>
        <w:tblStyle w:val="6-11"/>
        <w:tblpPr w:leftFromText="180" w:rightFromText="180" w:vertAnchor="text" w:horzAnchor="margin" w:tblpY="-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1134"/>
      </w:tblGrid>
      <w:tr w:rsidR="008E3833" w:rsidTr="004E2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E3833" w:rsidRPr="00EE584C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</w:rPr>
            </w:pPr>
            <w:r w:rsidRPr="00EE584C">
              <w:rPr>
                <w:rFonts w:eastAsia="仿宋_GB2312" w:hint="eastAsia"/>
              </w:rPr>
              <w:t>评价类别</w:t>
            </w:r>
          </w:p>
        </w:tc>
        <w:tc>
          <w:tcPr>
            <w:tcW w:w="3969" w:type="dxa"/>
            <w:vAlign w:val="center"/>
          </w:tcPr>
          <w:p w:rsidR="008E3833" w:rsidRPr="00EE584C" w:rsidRDefault="008E3833" w:rsidP="004E2F60">
            <w:pPr>
              <w:adjustRightInd w:val="0"/>
              <w:snapToGrid w:val="0"/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EE584C">
              <w:rPr>
                <w:rFonts w:eastAsia="仿宋_GB2312" w:hint="eastAsia"/>
              </w:rPr>
              <w:t>评定项目</w:t>
            </w:r>
          </w:p>
        </w:tc>
        <w:tc>
          <w:tcPr>
            <w:tcW w:w="1985" w:type="dxa"/>
            <w:vAlign w:val="center"/>
          </w:tcPr>
          <w:p w:rsidR="008E3833" w:rsidRPr="00EE584C" w:rsidRDefault="008E3833" w:rsidP="004E2F60">
            <w:pPr>
              <w:adjustRightInd w:val="0"/>
              <w:snapToGrid w:val="0"/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EE584C">
              <w:rPr>
                <w:rFonts w:eastAsia="仿宋_GB2312" w:hint="eastAsia"/>
              </w:rPr>
              <w:t>能力培养</w:t>
            </w:r>
          </w:p>
        </w:tc>
        <w:tc>
          <w:tcPr>
            <w:tcW w:w="1134" w:type="dxa"/>
            <w:vAlign w:val="center"/>
          </w:tcPr>
          <w:p w:rsidR="008E3833" w:rsidRPr="00EE584C" w:rsidRDefault="008E3833" w:rsidP="004E2F60">
            <w:pPr>
              <w:adjustRightInd w:val="0"/>
              <w:snapToGrid w:val="0"/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EE584C">
              <w:rPr>
                <w:rFonts w:eastAsia="仿宋_GB2312" w:hint="eastAsia"/>
              </w:rPr>
              <w:t>成绩分布</w:t>
            </w:r>
          </w:p>
        </w:tc>
      </w:tr>
      <w:tr w:rsidR="008E3833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textDirection w:val="tbLrV"/>
            <w:vAlign w:val="center"/>
          </w:tcPr>
          <w:p w:rsidR="008E3833" w:rsidRPr="002F36DD" w:rsidRDefault="008E3833" w:rsidP="004E2F60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  <w:r w:rsidRPr="002F36DD">
              <w:rPr>
                <w:rFonts w:eastAsia="仿宋_GB2312" w:hint="eastAsia"/>
                <w:b w:val="0"/>
                <w:bCs w:val="0"/>
                <w:sz w:val="24"/>
                <w:szCs w:val="24"/>
              </w:rPr>
              <w:t>过程性评价</w:t>
            </w:r>
          </w:p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 w:val="0"/>
                <w:bCs w:val="0"/>
              </w:rPr>
            </w:pPr>
          </w:p>
        </w:tc>
        <w:tc>
          <w:tcPr>
            <w:tcW w:w="3969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课后习题</w:t>
            </w:r>
          </w:p>
        </w:tc>
        <w:tc>
          <w:tcPr>
            <w:tcW w:w="1985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专业知识水平</w:t>
            </w:r>
          </w:p>
        </w:tc>
        <w:tc>
          <w:tcPr>
            <w:tcW w:w="1134" w:type="dxa"/>
            <w:tcBorders>
              <w:top w:val="single" w:sz="12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2A41FD">
              <w:rPr>
                <w:rFonts w:eastAsia="仿宋_GB2312"/>
              </w:rPr>
              <w:t>5%</w:t>
            </w:r>
          </w:p>
        </w:tc>
      </w:tr>
      <w:tr w:rsidR="008E3833" w:rsidTr="004E2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 w:val="0"/>
                <w:bCs w:val="0"/>
              </w:rPr>
            </w:pPr>
          </w:p>
        </w:tc>
        <w:tc>
          <w:tcPr>
            <w:tcW w:w="3969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实验报告（</w:t>
            </w:r>
            <w:r>
              <w:rPr>
                <w:rFonts w:eastAsia="仿宋_GB2312"/>
              </w:rPr>
              <w:t>10</w:t>
            </w:r>
            <w:r w:rsidRPr="004A6BDF">
              <w:rPr>
                <w:rFonts w:eastAsia="仿宋_GB2312" w:hint="eastAsia"/>
              </w:rPr>
              <w:t>次，个人提交）</w:t>
            </w:r>
          </w:p>
        </w:tc>
        <w:tc>
          <w:tcPr>
            <w:tcW w:w="1985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实践操作能力</w:t>
            </w:r>
          </w:p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分析应用能力</w:t>
            </w:r>
          </w:p>
        </w:tc>
        <w:tc>
          <w:tcPr>
            <w:tcW w:w="113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2A41FD">
              <w:rPr>
                <w:rFonts w:eastAsia="仿宋_GB2312"/>
              </w:rPr>
              <w:t>5%</w:t>
            </w:r>
          </w:p>
        </w:tc>
      </w:tr>
      <w:tr w:rsidR="008E3833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 w:val="0"/>
                <w:bCs w:val="0"/>
              </w:rPr>
            </w:pPr>
          </w:p>
        </w:tc>
        <w:tc>
          <w:tcPr>
            <w:tcW w:w="3969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课堂研讨（</w:t>
            </w:r>
            <w:r>
              <w:rPr>
                <w:rFonts w:eastAsia="仿宋_GB2312"/>
              </w:rPr>
              <w:t>6</w:t>
            </w:r>
            <w:r w:rsidRPr="004A6BDF">
              <w:rPr>
                <w:rFonts w:eastAsia="仿宋_GB2312" w:hint="eastAsia"/>
              </w:rPr>
              <w:t>次，教师评组</w:t>
            </w:r>
            <w:r w:rsidRPr="004A6BDF">
              <w:rPr>
                <w:rFonts w:eastAsia="仿宋_GB2312" w:hint="eastAsia"/>
              </w:rPr>
              <w:t>+</w:t>
            </w:r>
            <w:r w:rsidRPr="004A6BDF">
              <w:rPr>
                <w:rFonts w:eastAsia="仿宋_GB2312" w:hint="eastAsia"/>
              </w:rPr>
              <w:t>组内单评）</w:t>
            </w:r>
          </w:p>
        </w:tc>
        <w:tc>
          <w:tcPr>
            <w:tcW w:w="1985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沟通表达能力</w:t>
            </w:r>
          </w:p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批判性思辨能力</w:t>
            </w:r>
          </w:p>
        </w:tc>
        <w:tc>
          <w:tcPr>
            <w:tcW w:w="113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2A41FD">
              <w:rPr>
                <w:rFonts w:eastAsia="仿宋_GB2312"/>
              </w:rPr>
              <w:t>20%</w:t>
            </w:r>
          </w:p>
        </w:tc>
      </w:tr>
      <w:tr w:rsidR="008E3833" w:rsidTr="004E2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 w:val="0"/>
                <w:bCs w:val="0"/>
              </w:rPr>
            </w:pPr>
          </w:p>
        </w:tc>
        <w:tc>
          <w:tcPr>
            <w:tcW w:w="3969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小组研究建模论文（</w:t>
            </w:r>
            <w:r w:rsidRPr="004A6BDF">
              <w:rPr>
                <w:rFonts w:eastAsia="仿宋_GB2312" w:hint="eastAsia"/>
              </w:rPr>
              <w:t>1</w:t>
            </w:r>
            <w:r w:rsidRPr="004A6BDF">
              <w:rPr>
                <w:rFonts w:eastAsia="仿宋_GB2312" w:hint="eastAsia"/>
              </w:rPr>
              <w:t>份，团队提交）</w:t>
            </w:r>
          </w:p>
        </w:tc>
        <w:tc>
          <w:tcPr>
            <w:tcW w:w="1985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团队组织协作能力</w:t>
            </w:r>
          </w:p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综合应用分析能力</w:t>
            </w:r>
          </w:p>
        </w:tc>
        <w:tc>
          <w:tcPr>
            <w:tcW w:w="113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2A41FD">
              <w:rPr>
                <w:rFonts w:eastAsia="仿宋_GB2312"/>
              </w:rPr>
              <w:t>10%</w:t>
            </w:r>
          </w:p>
        </w:tc>
      </w:tr>
      <w:tr w:rsidR="008E3833" w:rsidTr="004E2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  <w:b w:val="0"/>
                <w:bCs w:val="0"/>
              </w:rPr>
            </w:pPr>
          </w:p>
        </w:tc>
        <w:tc>
          <w:tcPr>
            <w:tcW w:w="3969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课堂表现（考勤、课堂互动）</w:t>
            </w:r>
          </w:p>
        </w:tc>
        <w:tc>
          <w:tcPr>
            <w:tcW w:w="1985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学习态度和精神</w:t>
            </w:r>
          </w:p>
        </w:tc>
        <w:tc>
          <w:tcPr>
            <w:tcW w:w="113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</w:rPr>
            </w:pPr>
            <w:r w:rsidRPr="002A41FD">
              <w:rPr>
                <w:rFonts w:eastAsia="仿宋_GB2312"/>
              </w:rPr>
              <w:t>10%</w:t>
            </w:r>
          </w:p>
        </w:tc>
      </w:tr>
      <w:tr w:rsidR="008E3833" w:rsidTr="004E2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E3833" w:rsidRPr="00EE584C" w:rsidRDefault="008E3833" w:rsidP="004E2F60">
            <w:pPr>
              <w:adjustRightInd w:val="0"/>
              <w:snapToGrid w:val="0"/>
              <w:spacing w:line="300" w:lineRule="exact"/>
              <w:rPr>
                <w:rFonts w:eastAsia="仿宋_GB2312"/>
              </w:rPr>
            </w:pPr>
            <w:r w:rsidRPr="00EE584C">
              <w:rPr>
                <w:rFonts w:eastAsia="仿宋_GB2312" w:hint="eastAsia"/>
              </w:rPr>
              <w:t>期末评价</w:t>
            </w:r>
          </w:p>
        </w:tc>
        <w:tc>
          <w:tcPr>
            <w:tcW w:w="3969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开卷考试</w:t>
            </w:r>
            <w:r>
              <w:rPr>
                <w:rFonts w:eastAsia="仿宋_GB2312" w:hint="eastAsia"/>
              </w:rPr>
              <w:t>（英文）</w:t>
            </w:r>
          </w:p>
        </w:tc>
        <w:tc>
          <w:tcPr>
            <w:tcW w:w="1985" w:type="dxa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专业知识水平</w:t>
            </w:r>
          </w:p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4A6BDF">
              <w:rPr>
                <w:rFonts w:eastAsia="仿宋_GB2312" w:hint="eastAsia"/>
              </w:rPr>
              <w:t>自主学习能力</w:t>
            </w:r>
          </w:p>
        </w:tc>
        <w:tc>
          <w:tcPr>
            <w:tcW w:w="113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8E3833" w:rsidRPr="004A6BDF" w:rsidRDefault="008E3833" w:rsidP="004E2F60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</w:rPr>
            </w:pPr>
            <w:r w:rsidRPr="002A41FD">
              <w:rPr>
                <w:rFonts w:eastAsia="仿宋_GB2312"/>
              </w:rPr>
              <w:t>50%</w:t>
            </w:r>
          </w:p>
        </w:tc>
      </w:tr>
    </w:tbl>
    <w:p w:rsidR="009069D3" w:rsidRPr="00BF39A7" w:rsidRDefault="008E3833" w:rsidP="009069D3">
      <w:pPr>
        <w:spacing w:line="38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sz w:val="24"/>
        </w:rPr>
        <w:t>5</w:t>
      </w:r>
      <w:r w:rsidR="009069D3" w:rsidRPr="00BF39A7">
        <w:rPr>
          <w:rFonts w:ascii="仿宋_GB2312" w:eastAsia="仿宋_GB2312" w:hAnsi="仿宋_GB2312" w:cs="仿宋_GB2312" w:hint="eastAsia"/>
          <w:b/>
          <w:bCs/>
          <w:sz w:val="24"/>
        </w:rPr>
        <w:t>、课程与教学改革要解决的重点问题：</w:t>
      </w:r>
    </w:p>
    <w:p w:rsidR="009069D3" w:rsidRPr="00587971" w:rsidRDefault="009069D3" w:rsidP="009069D3">
      <w:pPr>
        <w:numPr>
          <w:ilvl w:val="0"/>
          <w:numId w:val="1"/>
        </w:numPr>
        <w:spacing w:line="38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教学内容需要梳理</w:t>
      </w:r>
      <w:r w:rsidRPr="00587971">
        <w:rPr>
          <w:rFonts w:ascii="Times New Roman" w:eastAsia="仿宋_GB2312" w:hAnsi="Times New Roman" w:hint="eastAsia"/>
          <w:sz w:val="24"/>
        </w:rPr>
        <w:t>和</w:t>
      </w:r>
      <w:r>
        <w:rPr>
          <w:rFonts w:ascii="Times New Roman" w:eastAsia="仿宋_GB2312" w:hAnsi="Times New Roman" w:hint="eastAsia"/>
          <w:sz w:val="24"/>
        </w:rPr>
        <w:t>优化</w:t>
      </w:r>
      <w:r w:rsidRPr="00587971">
        <w:rPr>
          <w:rFonts w:ascii="Times New Roman" w:eastAsia="仿宋_GB2312" w:hAnsi="Times New Roman" w:hint="eastAsia"/>
          <w:sz w:val="24"/>
        </w:rPr>
        <w:t>。本课程知识体系庞大、方法论错综复杂</w:t>
      </w:r>
      <w:r>
        <w:rPr>
          <w:rFonts w:ascii="Times New Roman" w:eastAsia="仿宋_GB2312" w:hAnsi="Times New Roman" w:hint="eastAsia"/>
          <w:sz w:val="24"/>
        </w:rPr>
        <w:t>，</w:t>
      </w:r>
      <w:r w:rsidRPr="00587971">
        <w:rPr>
          <w:rFonts w:ascii="Times New Roman" w:eastAsia="仿宋_GB2312" w:hAnsi="Times New Roman" w:hint="eastAsia"/>
          <w:sz w:val="24"/>
        </w:rPr>
        <w:t>现有课堂教学很难</w:t>
      </w:r>
      <w:r>
        <w:rPr>
          <w:rFonts w:ascii="Times New Roman" w:eastAsia="仿宋_GB2312" w:hAnsi="Times New Roman" w:hint="eastAsia"/>
          <w:sz w:val="24"/>
        </w:rPr>
        <w:t>在有限课时内让学生掌握全部建模知识点和方法论，也很难</w:t>
      </w:r>
      <w:r w:rsidRPr="00587971">
        <w:rPr>
          <w:rFonts w:ascii="Times New Roman" w:eastAsia="仿宋_GB2312" w:hAnsi="Times New Roman" w:hint="eastAsia"/>
          <w:sz w:val="24"/>
        </w:rPr>
        <w:t>满足学生对前沿知识的追踪。因此</w:t>
      </w:r>
      <w:r>
        <w:rPr>
          <w:rFonts w:ascii="Times New Roman" w:eastAsia="仿宋_GB2312" w:hAnsi="Times New Roman" w:hint="eastAsia"/>
          <w:sz w:val="24"/>
        </w:rPr>
        <w:t>，在</w:t>
      </w:r>
      <w:r w:rsidRPr="00587971">
        <w:rPr>
          <w:rFonts w:ascii="Times New Roman" w:eastAsia="仿宋_GB2312" w:hAnsi="Times New Roman" w:hint="eastAsia"/>
          <w:sz w:val="24"/>
        </w:rPr>
        <w:t>理论知识</w:t>
      </w:r>
      <w:r>
        <w:rPr>
          <w:rFonts w:ascii="Times New Roman" w:eastAsia="仿宋_GB2312" w:hAnsi="Times New Roman" w:hint="eastAsia"/>
          <w:sz w:val="24"/>
        </w:rPr>
        <w:t>方面</w:t>
      </w:r>
      <w:r w:rsidRPr="00587971">
        <w:rPr>
          <w:rFonts w:ascii="Times New Roman" w:eastAsia="仿宋_GB2312" w:hAnsi="Times New Roman" w:hint="eastAsia"/>
          <w:sz w:val="24"/>
        </w:rPr>
        <w:t>，要</w:t>
      </w:r>
      <w:r>
        <w:rPr>
          <w:rFonts w:ascii="Times New Roman" w:eastAsia="仿宋_GB2312" w:hAnsi="Times New Roman" w:hint="eastAsia"/>
          <w:sz w:val="24"/>
        </w:rPr>
        <w:t>整合知识模块，</w:t>
      </w:r>
      <w:r w:rsidRPr="00587971">
        <w:rPr>
          <w:rFonts w:ascii="Times New Roman" w:eastAsia="仿宋_GB2312" w:hAnsi="Times New Roman" w:hint="eastAsia"/>
          <w:sz w:val="24"/>
        </w:rPr>
        <w:t>淡化数理推导；</w:t>
      </w:r>
      <w:r>
        <w:rPr>
          <w:rFonts w:ascii="Times New Roman" w:eastAsia="仿宋_GB2312" w:hAnsi="Times New Roman" w:hint="eastAsia"/>
          <w:sz w:val="24"/>
        </w:rPr>
        <w:t>在</w:t>
      </w:r>
      <w:r w:rsidRPr="00587971">
        <w:rPr>
          <w:rFonts w:ascii="Times New Roman" w:eastAsia="仿宋_GB2312" w:hAnsi="Times New Roman" w:hint="eastAsia"/>
          <w:sz w:val="24"/>
        </w:rPr>
        <w:t>实验教学</w:t>
      </w:r>
      <w:r>
        <w:rPr>
          <w:rFonts w:ascii="Times New Roman" w:eastAsia="仿宋_GB2312" w:hAnsi="Times New Roman" w:hint="eastAsia"/>
          <w:sz w:val="24"/>
        </w:rPr>
        <w:t>方面，</w:t>
      </w:r>
      <w:r w:rsidRPr="00587971">
        <w:rPr>
          <w:rFonts w:ascii="Times New Roman" w:eastAsia="仿宋_GB2312" w:hAnsi="Times New Roman" w:hint="eastAsia"/>
          <w:sz w:val="24"/>
        </w:rPr>
        <w:t>强调学生的软件操作、数据分析能力培养；</w:t>
      </w:r>
      <w:r>
        <w:rPr>
          <w:rFonts w:ascii="Times New Roman" w:eastAsia="仿宋_GB2312" w:hAnsi="Times New Roman" w:hint="eastAsia"/>
          <w:sz w:val="24"/>
        </w:rPr>
        <w:t>在</w:t>
      </w:r>
      <w:r w:rsidRPr="00587971">
        <w:rPr>
          <w:rFonts w:ascii="Times New Roman" w:eastAsia="仿宋_GB2312" w:hAnsi="Times New Roman" w:hint="eastAsia"/>
          <w:sz w:val="24"/>
        </w:rPr>
        <w:t>课外拓展</w:t>
      </w:r>
      <w:r>
        <w:rPr>
          <w:rFonts w:ascii="Times New Roman" w:eastAsia="仿宋_GB2312" w:hAnsi="Times New Roman" w:hint="eastAsia"/>
          <w:sz w:val="24"/>
        </w:rPr>
        <w:t>方面，</w:t>
      </w:r>
      <w:r w:rsidRPr="00587971">
        <w:rPr>
          <w:rFonts w:ascii="Times New Roman" w:eastAsia="仿宋_GB2312" w:hAnsi="Times New Roman" w:hint="eastAsia"/>
          <w:sz w:val="24"/>
        </w:rPr>
        <w:t>要</w:t>
      </w:r>
      <w:r>
        <w:rPr>
          <w:rFonts w:ascii="Times New Roman" w:eastAsia="仿宋_GB2312" w:hAnsi="Times New Roman" w:hint="eastAsia"/>
          <w:sz w:val="24"/>
        </w:rPr>
        <w:t>增加中英文文献阅读、资料</w:t>
      </w:r>
      <w:r w:rsidRPr="00587971">
        <w:rPr>
          <w:rFonts w:ascii="Times New Roman" w:eastAsia="仿宋_GB2312" w:hAnsi="Times New Roman" w:hint="eastAsia"/>
          <w:sz w:val="24"/>
        </w:rPr>
        <w:t>搜集</w:t>
      </w:r>
      <w:r>
        <w:rPr>
          <w:rFonts w:ascii="Times New Roman" w:eastAsia="仿宋_GB2312" w:hAnsi="Times New Roman" w:hint="eastAsia"/>
          <w:sz w:val="24"/>
        </w:rPr>
        <w:t>等方面内容</w:t>
      </w:r>
      <w:r w:rsidRPr="00587971">
        <w:rPr>
          <w:rFonts w:ascii="Times New Roman" w:eastAsia="仿宋_GB2312" w:hAnsi="Times New Roman" w:hint="eastAsia"/>
          <w:sz w:val="24"/>
        </w:rPr>
        <w:t>。</w:t>
      </w:r>
      <w:r>
        <w:rPr>
          <w:rFonts w:ascii="Times New Roman" w:eastAsia="仿宋_GB2312" w:hAnsi="Times New Roman" w:hint="eastAsia"/>
          <w:sz w:val="24"/>
        </w:rPr>
        <w:t>但</w:t>
      </w:r>
      <w:r w:rsidRPr="00587971">
        <w:rPr>
          <w:rFonts w:ascii="Times New Roman" w:eastAsia="仿宋_GB2312" w:hAnsi="Times New Roman" w:hint="eastAsia"/>
          <w:sz w:val="24"/>
        </w:rPr>
        <w:t>如何结合</w:t>
      </w:r>
      <w:r>
        <w:rPr>
          <w:rFonts w:ascii="Times New Roman" w:eastAsia="仿宋_GB2312" w:hAnsi="Times New Roman" w:hint="eastAsia"/>
          <w:sz w:val="24"/>
        </w:rPr>
        <w:t>学生知识结构</w:t>
      </w:r>
      <w:r w:rsidRPr="00587971">
        <w:rPr>
          <w:rFonts w:ascii="Times New Roman" w:eastAsia="仿宋_GB2312" w:hAnsi="Times New Roman" w:hint="eastAsia"/>
          <w:sz w:val="24"/>
        </w:rPr>
        <w:t>开展知识</w:t>
      </w:r>
      <w:r>
        <w:rPr>
          <w:rFonts w:ascii="Times New Roman" w:eastAsia="仿宋_GB2312" w:hAnsi="Times New Roman" w:hint="eastAsia"/>
          <w:sz w:val="24"/>
        </w:rPr>
        <w:t>整合和优化</w:t>
      </w:r>
      <w:r w:rsidRPr="00587971">
        <w:rPr>
          <w:rFonts w:ascii="Times New Roman" w:eastAsia="仿宋_GB2312" w:hAnsi="Times New Roman" w:hint="eastAsia"/>
          <w:sz w:val="24"/>
        </w:rPr>
        <w:t>，有待</w:t>
      </w:r>
      <w:r>
        <w:rPr>
          <w:rFonts w:ascii="Times New Roman" w:eastAsia="仿宋_GB2312" w:hAnsi="Times New Roman" w:hint="eastAsia"/>
          <w:sz w:val="24"/>
        </w:rPr>
        <w:t>进一步</w:t>
      </w:r>
      <w:r w:rsidRPr="00587971">
        <w:rPr>
          <w:rFonts w:ascii="Times New Roman" w:eastAsia="仿宋_GB2312" w:hAnsi="Times New Roman" w:hint="eastAsia"/>
          <w:sz w:val="24"/>
        </w:rPr>
        <w:t>探索。</w:t>
      </w:r>
    </w:p>
    <w:p w:rsidR="009069D3" w:rsidRPr="00587971" w:rsidRDefault="009069D3" w:rsidP="009069D3">
      <w:pPr>
        <w:spacing w:line="38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>（</w:t>
      </w: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）教学方法需要改革创新。在信息化、数字化时代，传统的重理论轻应用、重课本轻课外、</w:t>
      </w:r>
      <w:r w:rsidRPr="00EA14A5">
        <w:rPr>
          <w:rFonts w:ascii="Times New Roman" w:eastAsia="仿宋_GB2312" w:hAnsi="Times New Roman"/>
          <w:sz w:val="24"/>
        </w:rPr>
        <w:t>重传授轻引导</w:t>
      </w:r>
      <w:r>
        <w:rPr>
          <w:rFonts w:ascii="Times New Roman" w:eastAsia="仿宋_GB2312" w:hAnsi="Times New Roman" w:hint="eastAsia"/>
          <w:sz w:val="24"/>
        </w:rPr>
        <w:t>的教学方法急需改革创新，需要以学生为中心，以实际问题为主线，激发学生课外阅读文献资料的主动性，加强</w:t>
      </w:r>
      <w:r w:rsidRPr="007B04D4">
        <w:rPr>
          <w:rFonts w:ascii="Times New Roman" w:eastAsia="仿宋_GB2312" w:hAnsi="Times New Roman" w:hint="eastAsia"/>
          <w:sz w:val="24"/>
        </w:rPr>
        <w:t>自主学习</w:t>
      </w:r>
      <w:r>
        <w:rPr>
          <w:rFonts w:ascii="Times New Roman" w:eastAsia="仿宋_GB2312" w:hAnsi="Times New Roman" w:hint="eastAsia"/>
          <w:sz w:val="24"/>
        </w:rPr>
        <w:t>和</w:t>
      </w:r>
      <w:r w:rsidRPr="00493A23">
        <w:rPr>
          <w:rFonts w:ascii="Times New Roman" w:eastAsia="仿宋_GB2312" w:hAnsi="Times New Roman" w:hint="eastAsia"/>
          <w:sz w:val="24"/>
        </w:rPr>
        <w:t>创新</w:t>
      </w:r>
      <w:r w:rsidRPr="007B04D4">
        <w:rPr>
          <w:rFonts w:ascii="Times New Roman" w:eastAsia="仿宋_GB2312" w:hAnsi="Times New Roman" w:hint="eastAsia"/>
          <w:sz w:val="24"/>
        </w:rPr>
        <w:t>能力</w:t>
      </w:r>
      <w:r>
        <w:rPr>
          <w:rFonts w:ascii="Times New Roman" w:eastAsia="仿宋_GB2312" w:hAnsi="Times New Roman" w:hint="eastAsia"/>
          <w:sz w:val="24"/>
        </w:rPr>
        <w:t>的</w:t>
      </w:r>
      <w:r w:rsidRPr="007B04D4">
        <w:rPr>
          <w:rFonts w:ascii="Times New Roman" w:eastAsia="仿宋_GB2312" w:hAnsi="Times New Roman" w:hint="eastAsia"/>
          <w:sz w:val="24"/>
        </w:rPr>
        <w:t>培养</w:t>
      </w:r>
      <w:r>
        <w:rPr>
          <w:rFonts w:ascii="Times New Roman" w:eastAsia="仿宋_GB2312" w:hAnsi="Times New Roman" w:hint="eastAsia"/>
          <w:sz w:val="24"/>
        </w:rPr>
        <w:t>。</w:t>
      </w:r>
    </w:p>
    <w:p w:rsidR="009069D3" w:rsidRDefault="009069D3" w:rsidP="009069D3">
      <w:pPr>
        <w:spacing w:line="38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</w:t>
      </w: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 w:hint="eastAsia"/>
          <w:sz w:val="24"/>
        </w:rPr>
        <w:t>）人文素养提升需要“课程思政”引领。</w:t>
      </w:r>
      <w:r w:rsidRPr="00C56DDD">
        <w:rPr>
          <w:rFonts w:ascii="Times New Roman" w:eastAsia="仿宋_GB2312" w:hAnsi="Times New Roman" w:hint="eastAsia"/>
          <w:sz w:val="24"/>
        </w:rPr>
        <w:t>作为一门工具性方法论课程，</w:t>
      </w:r>
      <w:r>
        <w:rPr>
          <w:rFonts w:ascii="Times New Roman" w:eastAsia="仿宋_GB2312" w:hAnsi="Times New Roman" w:hint="eastAsia"/>
          <w:sz w:val="24"/>
        </w:rPr>
        <w:t>本课程</w:t>
      </w:r>
      <w:r w:rsidRPr="00C56DDD">
        <w:rPr>
          <w:rFonts w:ascii="Times New Roman" w:eastAsia="仿宋_GB2312" w:hAnsi="Times New Roman" w:hint="eastAsia"/>
          <w:sz w:val="24"/>
        </w:rPr>
        <w:t>实际上蕴含了丰富的思政</w:t>
      </w:r>
      <w:r>
        <w:rPr>
          <w:rFonts w:ascii="Times New Roman" w:eastAsia="仿宋_GB2312" w:hAnsi="Times New Roman" w:hint="eastAsia"/>
          <w:sz w:val="24"/>
        </w:rPr>
        <w:t>元素。但是如何设计和融入思政教学内容，目前仍缺乏有效</w:t>
      </w:r>
      <w:r w:rsidRPr="00C56DDD">
        <w:rPr>
          <w:rFonts w:ascii="Times New Roman" w:eastAsia="仿宋_GB2312" w:hAnsi="Times New Roman" w:hint="eastAsia"/>
          <w:sz w:val="24"/>
        </w:rPr>
        <w:t>参考模板。</w:t>
      </w:r>
    </w:p>
    <w:p w:rsidR="006F1A91" w:rsidRPr="00A0078A" w:rsidRDefault="006F1A91"/>
    <w:sectPr w:rsidR="006F1A91" w:rsidRPr="00A0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71" w:rsidRDefault="00575171" w:rsidP="00A0078A">
      <w:r>
        <w:separator/>
      </w:r>
    </w:p>
  </w:endnote>
  <w:endnote w:type="continuationSeparator" w:id="0">
    <w:p w:rsidR="00575171" w:rsidRDefault="00575171" w:rsidP="00A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71" w:rsidRDefault="00575171" w:rsidP="00A0078A">
      <w:r>
        <w:separator/>
      </w:r>
    </w:p>
  </w:footnote>
  <w:footnote w:type="continuationSeparator" w:id="0">
    <w:p w:rsidR="00575171" w:rsidRDefault="00575171" w:rsidP="00A0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D09CC"/>
    <w:multiLevelType w:val="singleLevel"/>
    <w:tmpl w:val="7D0D09C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3"/>
    <w:rsid w:val="00575171"/>
    <w:rsid w:val="006F1A91"/>
    <w:rsid w:val="008E3833"/>
    <w:rsid w:val="009069D3"/>
    <w:rsid w:val="00A0078A"/>
    <w:rsid w:val="00F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F26F7-FA14-4E92-93F5-8A316F0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78A"/>
    <w:rPr>
      <w:sz w:val="18"/>
      <w:szCs w:val="18"/>
    </w:rPr>
  </w:style>
  <w:style w:type="table" w:customStyle="1" w:styleId="6-11">
    <w:name w:val="网格表 6 彩色 - 着色 11"/>
    <w:basedOn w:val="a1"/>
    <w:uiPriority w:val="51"/>
    <w:rsid w:val="00A0078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2022-10-17T06:59:00Z</dcterms:created>
  <dcterms:modified xsi:type="dcterms:W3CDTF">2022-10-17T07:01:00Z</dcterms:modified>
</cp:coreProperties>
</file>