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0E41" w14:textId="77777777" w:rsidR="00390FE5" w:rsidRDefault="00B43F6A">
      <w:pPr>
        <w:pStyle w:val="ab"/>
        <w:rPr>
          <w:rFonts w:ascii="黑体" w:eastAsia="黑体" w:hAnsi="黑体"/>
        </w:rPr>
      </w:pPr>
      <w:r>
        <w:rPr>
          <w:rFonts w:ascii="黑体" w:eastAsia="黑体" w:hAnsi="黑体" w:hint="eastAsia"/>
          <w:sz w:val="36"/>
          <w:szCs w:val="36"/>
        </w:rPr>
        <w:t>“中级财务会计”课</w:t>
      </w:r>
      <w:r>
        <w:rPr>
          <w:rFonts w:ascii="黑体" w:eastAsia="黑体" w:hAnsi="黑体" w:hint="eastAsia"/>
        </w:rPr>
        <w:t>程</w:t>
      </w:r>
      <w:r>
        <w:rPr>
          <w:rFonts w:ascii="黑体" w:eastAsia="黑体" w:hAnsi="黑体" w:hint="eastAsia"/>
          <w:sz w:val="36"/>
          <w:szCs w:val="36"/>
        </w:rPr>
        <w:t>教学设计样例说明</w:t>
      </w:r>
    </w:p>
    <w:p w14:paraId="7454AEB9" w14:textId="77777777" w:rsidR="00390FE5" w:rsidRDefault="00B43F6A">
      <w:pPr>
        <w:pStyle w:val="ab"/>
        <w:rPr>
          <w:rFonts w:ascii="黑体" w:eastAsia="黑体" w:hAnsi="黑体"/>
        </w:rPr>
      </w:pPr>
      <w:r>
        <w:rPr>
          <w:rFonts w:ascii="黑体" w:eastAsia="黑体" w:hAnsi="黑体" w:hint="eastAsia"/>
        </w:rPr>
        <w:t>教学单元：“</w:t>
      </w:r>
      <w:r>
        <w:rPr>
          <w:rFonts w:ascii="黑体" w:eastAsia="黑体" w:hAnsi="黑体"/>
        </w:rPr>
        <w:t>长期股权投资</w:t>
      </w:r>
      <w:r>
        <w:rPr>
          <w:rFonts w:ascii="黑体" w:eastAsia="黑体" w:hAnsi="黑体" w:hint="eastAsia"/>
        </w:rPr>
        <w:t>”</w:t>
      </w:r>
    </w:p>
    <w:p w14:paraId="6FBFEA9D" w14:textId="77777777" w:rsidR="00390FE5" w:rsidRDefault="00B43F6A">
      <w:pPr>
        <w:pStyle w:val="ab"/>
      </w:pPr>
      <w:r>
        <w:rPr>
          <w:rFonts w:ascii="黑体" w:eastAsia="黑体" w:hAnsi="黑体" w:hint="eastAsia"/>
        </w:rPr>
        <w:t>研讨课</w:t>
      </w:r>
      <w:r>
        <w:rPr>
          <w:rFonts w:ascii="黑体" w:eastAsia="黑体" w:hAnsi="黑体"/>
        </w:rPr>
        <w:t>教学设计</w:t>
      </w:r>
    </w:p>
    <w:p w14:paraId="3098692B" w14:textId="77777777" w:rsidR="00390FE5" w:rsidRDefault="00B43F6A">
      <w:pPr>
        <w:pStyle w:val="2"/>
        <w:rPr>
          <w:rFonts w:ascii="黑体" w:eastAsia="黑体" w:hAnsi="黑体"/>
          <w:sz w:val="28"/>
          <w:szCs w:val="28"/>
        </w:rPr>
      </w:pPr>
      <w:bookmarkStart w:id="0" w:name="_Hlk66058037"/>
      <w:r>
        <w:rPr>
          <w:rFonts w:ascii="黑体" w:eastAsia="黑体" w:hAnsi="黑体" w:hint="eastAsia"/>
          <w:sz w:val="28"/>
          <w:szCs w:val="28"/>
        </w:rPr>
        <w:t>一、单元目标</w:t>
      </w:r>
    </w:p>
    <w:bookmarkEnd w:id="0"/>
    <w:p w14:paraId="62077242"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教学大纲中，“</w:t>
      </w:r>
      <w:r>
        <w:rPr>
          <w:rFonts w:ascii="仿宋" w:eastAsia="仿宋" w:hAnsi="仿宋" w:cs="仿宋_GB2312"/>
          <w:sz w:val="24"/>
          <w:szCs w:val="24"/>
        </w:rPr>
        <w:t>长期股权投资</w:t>
      </w:r>
      <w:r>
        <w:rPr>
          <w:rFonts w:ascii="仿宋" w:eastAsia="仿宋" w:hAnsi="仿宋" w:cs="仿宋_GB2312" w:hint="eastAsia"/>
          <w:sz w:val="24"/>
          <w:szCs w:val="24"/>
        </w:rPr>
        <w:t>”的教学目标是：掌握长期股权投资的概念和种类；掌握长期股权投资的初始计量、长期股权投资的成本法与权益法、长期股权投资处置；了解长期股权投资核算方法的转换；明确长期股权资项目在财务报告中的列示。 要求学生能够针对实务中可能发生的各种情况，依据长期股权投资的经济内涵、核算要求进行判断分析。具体的知识目标、能力目标和素质目标如下：</w:t>
      </w:r>
    </w:p>
    <w:p w14:paraId="52B72D6F" w14:textId="77777777" w:rsidR="00390FE5" w:rsidRDefault="00B43F6A">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1.德育目标</w:t>
      </w:r>
    </w:p>
    <w:p w14:paraId="5856E4E6"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（1）诚实守信，提供可靠会计信息。</w:t>
      </w:r>
    </w:p>
    <w:p w14:paraId="189822C6"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（2）坚持准则，熟悉和掌握法律法规。</w:t>
      </w:r>
    </w:p>
    <w:p w14:paraId="1F7AC9E4" w14:textId="77777777" w:rsidR="00390FE5" w:rsidRDefault="00B43F6A">
      <w:pPr>
        <w:spacing w:line="400" w:lineRule="exact"/>
        <w:ind w:firstLineChars="200" w:firstLine="480"/>
        <w:rPr>
          <w:rFonts w:ascii="仿宋" w:eastAsia="仿宋" w:hAnsi="仿宋"/>
          <w:b/>
          <w:sz w:val="24"/>
          <w:szCs w:val="24"/>
        </w:rPr>
      </w:pPr>
      <w:r>
        <w:rPr>
          <w:rFonts w:ascii="仿宋" w:eastAsia="仿宋" w:hAnsi="仿宋" w:cs="仿宋_GB2312" w:hint="eastAsia"/>
          <w:sz w:val="24"/>
          <w:szCs w:val="24"/>
        </w:rPr>
        <w:t>（3）提高技能，勤奋的学习精神和科学的学习方法。</w:t>
      </w:r>
    </w:p>
    <w:p w14:paraId="44A00000" w14:textId="77777777" w:rsidR="00390FE5" w:rsidRDefault="00B43F6A">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2.知识目标</w:t>
      </w:r>
    </w:p>
    <w:p w14:paraId="492CE77A"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（1）掌握长期股权投资的概念和种类。</w:t>
      </w:r>
    </w:p>
    <w:p w14:paraId="5AB9073D"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（2）掌握长期股权投资初始计量的基本理论和方法。</w:t>
      </w:r>
    </w:p>
    <w:p w14:paraId="075799C9"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（3）掌握长期股权投资后续计量的基本理论和方法。</w:t>
      </w:r>
    </w:p>
    <w:p w14:paraId="46B379B4"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（4）了解长期股权投资核算方法的转换。</w:t>
      </w:r>
    </w:p>
    <w:p w14:paraId="6E50C561"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（5）明确长期股权资项目在财务报告中的列示。</w:t>
      </w:r>
    </w:p>
    <w:p w14:paraId="2BB11605" w14:textId="77777777" w:rsidR="00390FE5" w:rsidRDefault="00B43F6A">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3.能力目标</w:t>
      </w:r>
    </w:p>
    <w:p w14:paraId="43A69A5A"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hint="eastAsia"/>
          <w:sz w:val="24"/>
          <w:szCs w:val="24"/>
        </w:rPr>
        <w:t>（</w:t>
      </w:r>
      <w:r>
        <w:rPr>
          <w:rFonts w:ascii="仿宋" w:eastAsia="仿宋" w:hAnsi="仿宋" w:cs="仿宋_GB2312" w:hint="eastAsia"/>
          <w:sz w:val="24"/>
          <w:szCs w:val="24"/>
        </w:rPr>
        <w:t>1）业务处理能力：会办理长期股权投资会计核算岗位的各项工作。能按照规范的流程和方法进行长期股权投资业务的账务处理。</w:t>
      </w:r>
    </w:p>
    <w:p w14:paraId="697C550C"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（2）知识应用能力：通过对上市公司实际案例的分析，感受理论知识在会计实务中的应用。</w:t>
      </w:r>
    </w:p>
    <w:p w14:paraId="61D78BD8"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（3）专业综合能力：能够总结出长期股权投资与各项金融资产在初始计量、后续计量及期末计量上的异同；能够分析长期股权投资业务对会计信息的影响。</w:t>
      </w:r>
    </w:p>
    <w:p w14:paraId="251CB92F" w14:textId="77777777" w:rsidR="00390FE5" w:rsidRDefault="00B43F6A">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4.素质目标</w:t>
      </w:r>
    </w:p>
    <w:p w14:paraId="59F90023"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（1）带着学习任务线下自主学习，培养主动学习和自主学习的能力。</w:t>
      </w:r>
    </w:p>
    <w:p w14:paraId="4087242B"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（2）通过实际案例分析，培养分析问题、解决问题、质疑问题的能力。</w:t>
      </w:r>
    </w:p>
    <w:p w14:paraId="1B835D37"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（3）通过团队讨论、汇报，培养合作、沟通和表达能力。</w:t>
      </w:r>
    </w:p>
    <w:p w14:paraId="199BC76C" w14:textId="77777777" w:rsidR="00390FE5" w:rsidRDefault="00B43F6A">
      <w:pPr>
        <w:pStyle w:val="2"/>
        <w:rPr>
          <w:rFonts w:ascii="黑体" w:eastAsia="黑体" w:hAnsi="黑体"/>
          <w:b w:val="0"/>
          <w:sz w:val="28"/>
          <w:szCs w:val="28"/>
        </w:rPr>
      </w:pPr>
      <w:r>
        <w:rPr>
          <w:rFonts w:ascii="黑体" w:eastAsia="黑体" w:hAnsi="黑体" w:hint="eastAsia"/>
          <w:sz w:val="28"/>
          <w:szCs w:val="28"/>
        </w:rPr>
        <w:t>二、单元内容与资源使用</w:t>
      </w:r>
    </w:p>
    <w:p w14:paraId="083E35CE" w14:textId="77777777" w:rsidR="00390FE5" w:rsidRDefault="00B43F6A">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1.单元内容</w:t>
      </w:r>
    </w:p>
    <w:p w14:paraId="55A2E2D2" w14:textId="77777777" w:rsidR="00390FE5" w:rsidRDefault="00B43F6A">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长期股权投资的教学内容如图1所示。</w:t>
      </w:r>
    </w:p>
    <w:p w14:paraId="64E47AF6" w14:textId="77777777" w:rsidR="00390FE5" w:rsidRDefault="00B43F6A">
      <w:pPr>
        <w:rPr>
          <w:sz w:val="24"/>
          <w:szCs w:val="24"/>
        </w:rPr>
      </w:pPr>
      <w:r>
        <w:rPr>
          <w:noProof/>
          <w:sz w:val="24"/>
          <w:szCs w:val="24"/>
        </w:rPr>
        <w:drawing>
          <wp:inline distT="0" distB="0" distL="0" distR="0" wp14:anchorId="205A56D6" wp14:editId="44C21547">
            <wp:extent cx="5274310" cy="1771650"/>
            <wp:effectExtent l="19050" t="0" r="2540" b="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noChangeArrowheads="1"/>
                    </pic:cNvPicPr>
                  </pic:nvPicPr>
                  <pic:blipFill>
                    <a:blip r:embed="rId7"/>
                    <a:srcRect/>
                    <a:stretch>
                      <a:fillRect/>
                    </a:stretch>
                  </pic:blipFill>
                  <pic:spPr>
                    <a:xfrm>
                      <a:off x="0" y="0"/>
                      <a:ext cx="5274310" cy="1772270"/>
                    </a:xfrm>
                    <a:prstGeom prst="rect">
                      <a:avLst/>
                    </a:prstGeom>
                    <a:noFill/>
                    <a:ln w="9525">
                      <a:noFill/>
                      <a:miter lim="800000"/>
                      <a:headEnd/>
                      <a:tailEnd/>
                    </a:ln>
                  </pic:spPr>
                </pic:pic>
              </a:graphicData>
            </a:graphic>
          </wp:inline>
        </w:drawing>
      </w:r>
    </w:p>
    <w:p w14:paraId="2C4E260E" w14:textId="77777777" w:rsidR="00390FE5" w:rsidRDefault="00B43F6A">
      <w:pPr>
        <w:jc w:val="center"/>
        <w:rPr>
          <w:rFonts w:ascii="黑体" w:eastAsia="黑体" w:hAnsi="黑体"/>
          <w:szCs w:val="21"/>
        </w:rPr>
      </w:pPr>
      <w:r>
        <w:rPr>
          <w:rFonts w:ascii="黑体" w:eastAsia="黑体" w:hAnsi="黑体" w:hint="eastAsia"/>
          <w:szCs w:val="21"/>
        </w:rPr>
        <w:t>图1 长期股权投资的教学内容</w:t>
      </w:r>
    </w:p>
    <w:p w14:paraId="4D16B623" w14:textId="77777777" w:rsidR="00390FE5" w:rsidRDefault="00B43F6A">
      <w:pPr>
        <w:spacing w:line="400" w:lineRule="exact"/>
        <w:ind w:firstLineChars="200" w:firstLine="482"/>
        <w:rPr>
          <w:rFonts w:asciiTheme="minorEastAsia" w:hAnsiTheme="minorEastAsia"/>
          <w:b/>
          <w:sz w:val="24"/>
          <w:szCs w:val="24"/>
        </w:rPr>
      </w:pPr>
      <w:r>
        <w:rPr>
          <w:rFonts w:asciiTheme="minorEastAsia" w:hAnsiTheme="minorEastAsia" w:hint="eastAsia"/>
          <w:b/>
          <w:sz w:val="24"/>
          <w:szCs w:val="24"/>
        </w:rPr>
        <w:t>2.资源的使用</w:t>
      </w:r>
    </w:p>
    <w:p w14:paraId="7B562864" w14:textId="77777777" w:rsidR="00390FE5" w:rsidRDefault="00B43F6A">
      <w:pPr>
        <w:ind w:firstLineChars="200" w:firstLine="480"/>
        <w:rPr>
          <w:rFonts w:ascii="仿宋" w:eastAsia="仿宋" w:hAnsi="仿宋" w:cs="仿宋_GB2312"/>
          <w:sz w:val="24"/>
          <w:szCs w:val="24"/>
        </w:rPr>
      </w:pPr>
      <w:r>
        <w:rPr>
          <w:rFonts w:ascii="仿宋_GB2312" w:eastAsia="仿宋_GB2312" w:hAnsi="仿宋_GB2312" w:cs="仿宋_GB2312" w:hint="eastAsia"/>
          <w:sz w:val="24"/>
          <w:szCs w:val="24"/>
        </w:rPr>
        <w:t>根</w:t>
      </w:r>
      <w:r>
        <w:rPr>
          <w:rFonts w:ascii="仿宋" w:eastAsia="仿宋" w:hAnsi="仿宋" w:cs="仿宋_GB2312" w:hint="eastAsia"/>
          <w:sz w:val="24"/>
          <w:szCs w:val="24"/>
        </w:rPr>
        <w:t>据本章节的任务清单，给出线上线下的学习资源。本章节的学习任务清单与学习内容、学习资源匹配如表1所示。</w:t>
      </w:r>
    </w:p>
    <w:p w14:paraId="33586FB4" w14:textId="77777777" w:rsidR="00390FE5" w:rsidRDefault="00B43F6A">
      <w:pPr>
        <w:spacing w:line="400" w:lineRule="exact"/>
        <w:ind w:firstLineChars="200" w:firstLine="422"/>
        <w:jc w:val="center"/>
        <w:rPr>
          <w:rFonts w:ascii="黑体" w:eastAsia="黑体" w:hAnsi="黑体"/>
          <w:b/>
          <w:szCs w:val="21"/>
        </w:rPr>
      </w:pPr>
      <w:r>
        <w:rPr>
          <w:rFonts w:ascii="黑体" w:eastAsia="黑体" w:hAnsi="黑体" w:hint="eastAsia"/>
          <w:b/>
          <w:szCs w:val="21"/>
        </w:rPr>
        <w:t>表1   学习内容、学习资源与学习任务清单</w:t>
      </w:r>
    </w:p>
    <w:tbl>
      <w:tblPr>
        <w:tblStyle w:val="ad"/>
        <w:tblW w:w="0" w:type="auto"/>
        <w:tblLook w:val="04A0" w:firstRow="1" w:lastRow="0" w:firstColumn="1" w:lastColumn="0" w:noHBand="0" w:noVBand="1"/>
      </w:tblPr>
      <w:tblGrid>
        <w:gridCol w:w="2946"/>
        <w:gridCol w:w="2840"/>
        <w:gridCol w:w="2736"/>
      </w:tblGrid>
      <w:tr w:rsidR="00390FE5" w14:paraId="0E8DA95B" w14:textId="77777777">
        <w:tc>
          <w:tcPr>
            <w:tcW w:w="2946" w:type="dxa"/>
          </w:tcPr>
          <w:p w14:paraId="62C20B1B" w14:textId="77777777" w:rsidR="00390FE5" w:rsidRDefault="00B43F6A">
            <w:pPr>
              <w:jc w:val="center"/>
              <w:rPr>
                <w:rFonts w:asciiTheme="minorEastAsia" w:hAnsiTheme="minorEastAsia"/>
                <w:b/>
                <w:szCs w:val="21"/>
              </w:rPr>
            </w:pPr>
            <w:r>
              <w:rPr>
                <w:rFonts w:asciiTheme="minorEastAsia" w:hAnsiTheme="minorEastAsia" w:hint="eastAsia"/>
                <w:b/>
                <w:szCs w:val="21"/>
              </w:rPr>
              <w:t>学习内容</w:t>
            </w:r>
          </w:p>
        </w:tc>
        <w:tc>
          <w:tcPr>
            <w:tcW w:w="2840" w:type="dxa"/>
          </w:tcPr>
          <w:p w14:paraId="4930E5EC" w14:textId="77777777" w:rsidR="00390FE5" w:rsidRDefault="00B43F6A">
            <w:pPr>
              <w:ind w:firstLineChars="100" w:firstLine="211"/>
              <w:jc w:val="center"/>
              <w:rPr>
                <w:rFonts w:asciiTheme="minorEastAsia" w:hAnsiTheme="minorEastAsia"/>
                <w:b/>
                <w:szCs w:val="21"/>
              </w:rPr>
            </w:pPr>
            <w:r>
              <w:rPr>
                <w:rFonts w:asciiTheme="minorEastAsia" w:hAnsiTheme="minorEastAsia" w:hint="eastAsia"/>
                <w:b/>
                <w:szCs w:val="21"/>
              </w:rPr>
              <w:t>学习资源</w:t>
            </w:r>
          </w:p>
        </w:tc>
        <w:tc>
          <w:tcPr>
            <w:tcW w:w="2736" w:type="dxa"/>
          </w:tcPr>
          <w:p w14:paraId="73F163C6" w14:textId="77777777" w:rsidR="00390FE5" w:rsidRDefault="00B43F6A">
            <w:pPr>
              <w:ind w:firstLineChars="100" w:firstLine="211"/>
              <w:jc w:val="center"/>
              <w:rPr>
                <w:rFonts w:asciiTheme="minorEastAsia" w:hAnsiTheme="minorEastAsia"/>
                <w:b/>
                <w:szCs w:val="21"/>
              </w:rPr>
            </w:pPr>
            <w:r>
              <w:rPr>
                <w:rFonts w:asciiTheme="minorEastAsia" w:hAnsiTheme="minorEastAsia" w:hint="eastAsia"/>
                <w:b/>
                <w:szCs w:val="21"/>
              </w:rPr>
              <w:t>学习任务</w:t>
            </w:r>
          </w:p>
        </w:tc>
      </w:tr>
      <w:tr w:rsidR="00390FE5" w14:paraId="7F40450D" w14:textId="77777777">
        <w:tc>
          <w:tcPr>
            <w:tcW w:w="2946" w:type="dxa"/>
          </w:tcPr>
          <w:p w14:paraId="6BA6B670" w14:textId="77777777" w:rsidR="00390FE5" w:rsidRDefault="00B43F6A">
            <w:pPr>
              <w:rPr>
                <w:rFonts w:ascii="仿宋" w:eastAsia="仿宋" w:hAnsi="仿宋" w:cs="仿宋_GB2312"/>
                <w:sz w:val="24"/>
                <w:szCs w:val="24"/>
              </w:rPr>
            </w:pPr>
            <w:r>
              <w:rPr>
                <w:rFonts w:ascii="仿宋" w:eastAsia="仿宋" w:hAnsi="仿宋" w:cs="仿宋_GB2312" w:hint="eastAsia"/>
                <w:sz w:val="24"/>
                <w:szCs w:val="24"/>
              </w:rPr>
              <w:t>长期股权投资的初始计量：形成控股合并（同一控制下、非同一控制下），不形成控股合并</w:t>
            </w:r>
          </w:p>
        </w:tc>
        <w:tc>
          <w:tcPr>
            <w:tcW w:w="2840" w:type="dxa"/>
          </w:tcPr>
          <w:p w14:paraId="75B1D13C" w14:textId="6022004C" w:rsidR="00390FE5" w:rsidRDefault="00B43F6A">
            <w:pPr>
              <w:rPr>
                <w:rFonts w:ascii="仿宋" w:eastAsia="仿宋" w:hAnsi="仿宋" w:cs="仿宋_GB2312"/>
                <w:sz w:val="24"/>
                <w:szCs w:val="24"/>
              </w:rPr>
            </w:pPr>
            <w:r>
              <w:rPr>
                <w:rFonts w:ascii="仿宋" w:eastAsia="仿宋" w:hAnsi="仿宋" w:cs="仿宋_GB2312" w:hint="eastAsia"/>
                <w:sz w:val="24"/>
                <w:szCs w:val="24"/>
              </w:rPr>
              <w:t>线上</w:t>
            </w:r>
            <w:r w:rsidR="007C040B">
              <w:rPr>
                <w:rFonts w:ascii="仿宋" w:eastAsia="仿宋" w:hAnsi="仿宋" w:cs="仿宋_GB2312"/>
                <w:sz w:val="24"/>
                <w:szCs w:val="24"/>
              </w:rPr>
              <w:t>MOOC</w:t>
            </w:r>
            <w:r>
              <w:rPr>
                <w:rFonts w:ascii="仿宋" w:eastAsia="仿宋" w:hAnsi="仿宋" w:cs="仿宋_GB2312" w:hint="eastAsia"/>
                <w:sz w:val="24"/>
                <w:szCs w:val="24"/>
              </w:rPr>
              <w:t>视频</w:t>
            </w:r>
          </w:p>
          <w:p w14:paraId="41B4D006" w14:textId="5DB7DFD0" w:rsidR="00390FE5" w:rsidRDefault="00B43F6A">
            <w:pPr>
              <w:rPr>
                <w:rFonts w:ascii="仿宋" w:eastAsia="仿宋" w:hAnsi="仿宋" w:cs="仿宋_GB2312"/>
                <w:sz w:val="24"/>
                <w:szCs w:val="24"/>
              </w:rPr>
            </w:pPr>
            <w:r>
              <w:rPr>
                <w:rFonts w:ascii="仿宋" w:eastAsia="仿宋" w:hAnsi="仿宋" w:cs="仿宋_GB2312" w:hint="eastAsia"/>
                <w:sz w:val="24"/>
                <w:szCs w:val="24"/>
              </w:rPr>
              <w:t>线上拓展资</w:t>
            </w:r>
            <w:r w:rsidR="007C040B">
              <w:rPr>
                <w:rFonts w:ascii="仿宋" w:eastAsia="仿宋" w:hAnsi="仿宋" w:cs="仿宋_GB2312" w:hint="eastAsia"/>
                <w:sz w:val="24"/>
                <w:szCs w:val="24"/>
              </w:rPr>
              <w:t>料</w:t>
            </w:r>
          </w:p>
          <w:p w14:paraId="509D5F4E" w14:textId="1372543B" w:rsidR="00390FE5" w:rsidRDefault="00B43F6A">
            <w:pPr>
              <w:rPr>
                <w:rFonts w:ascii="仿宋" w:eastAsia="仿宋" w:hAnsi="仿宋" w:cs="仿宋_GB2312"/>
                <w:sz w:val="24"/>
                <w:szCs w:val="24"/>
              </w:rPr>
            </w:pPr>
            <w:r>
              <w:rPr>
                <w:rFonts w:ascii="仿宋" w:eastAsia="仿宋" w:hAnsi="仿宋" w:cs="仿宋_GB2312" w:hint="eastAsia"/>
                <w:sz w:val="24"/>
                <w:szCs w:val="24"/>
              </w:rPr>
              <w:t>教材</w:t>
            </w:r>
          </w:p>
          <w:p w14:paraId="7243737E" w14:textId="77777777" w:rsidR="00390FE5" w:rsidRDefault="00B43F6A">
            <w:pPr>
              <w:rPr>
                <w:rFonts w:ascii="仿宋" w:eastAsia="仿宋" w:hAnsi="仿宋" w:cs="仿宋_GB2312"/>
                <w:sz w:val="24"/>
                <w:szCs w:val="24"/>
              </w:rPr>
            </w:pPr>
            <w:r>
              <w:rPr>
                <w:rFonts w:ascii="仿宋" w:eastAsia="仿宋" w:hAnsi="仿宋" w:cs="仿宋_GB2312" w:hint="eastAsia"/>
                <w:sz w:val="24"/>
                <w:szCs w:val="24"/>
              </w:rPr>
              <w:t>案例：雅戈尔公司年报</w:t>
            </w:r>
          </w:p>
        </w:tc>
        <w:tc>
          <w:tcPr>
            <w:tcW w:w="2736" w:type="dxa"/>
          </w:tcPr>
          <w:p w14:paraId="20B29D10" w14:textId="77777777" w:rsidR="00390FE5" w:rsidRDefault="00B43F6A">
            <w:pPr>
              <w:rPr>
                <w:rFonts w:ascii="仿宋" w:eastAsia="仿宋" w:hAnsi="仿宋" w:cs="仿宋_GB2312"/>
                <w:sz w:val="24"/>
                <w:szCs w:val="24"/>
              </w:rPr>
            </w:pPr>
            <w:r>
              <w:rPr>
                <w:rFonts w:ascii="仿宋" w:eastAsia="仿宋" w:hAnsi="仿宋" w:cs="仿宋_GB2312" w:hint="eastAsia"/>
                <w:sz w:val="24"/>
                <w:szCs w:val="24"/>
              </w:rPr>
              <w:t>分析雅戈尔公司长期股权投资形成的具体情况。不同方式形成的长期股权投资如何进行初始计量？</w:t>
            </w:r>
          </w:p>
        </w:tc>
      </w:tr>
      <w:tr w:rsidR="00390FE5" w14:paraId="34C77F0F" w14:textId="77777777">
        <w:tc>
          <w:tcPr>
            <w:tcW w:w="2946" w:type="dxa"/>
          </w:tcPr>
          <w:p w14:paraId="5FA6068C" w14:textId="77777777" w:rsidR="00390FE5" w:rsidRDefault="00B43F6A">
            <w:pPr>
              <w:rPr>
                <w:rFonts w:ascii="仿宋" w:eastAsia="仿宋" w:hAnsi="仿宋" w:cs="仿宋_GB2312"/>
                <w:sz w:val="24"/>
                <w:szCs w:val="24"/>
              </w:rPr>
            </w:pPr>
            <w:r>
              <w:rPr>
                <w:rFonts w:ascii="仿宋" w:eastAsia="仿宋" w:hAnsi="仿宋" w:cs="仿宋_GB2312" w:hint="eastAsia"/>
                <w:sz w:val="24"/>
                <w:szCs w:val="24"/>
              </w:rPr>
              <w:t>长期股权投资的后续计量：成本法，权益法</w:t>
            </w:r>
          </w:p>
        </w:tc>
        <w:tc>
          <w:tcPr>
            <w:tcW w:w="2840" w:type="dxa"/>
          </w:tcPr>
          <w:p w14:paraId="7F560864" w14:textId="0E87D6A5" w:rsidR="00390FE5" w:rsidRDefault="00B43F6A">
            <w:pPr>
              <w:rPr>
                <w:rFonts w:ascii="仿宋" w:eastAsia="仿宋" w:hAnsi="仿宋" w:cs="仿宋_GB2312"/>
                <w:sz w:val="24"/>
                <w:szCs w:val="24"/>
              </w:rPr>
            </w:pPr>
            <w:r>
              <w:rPr>
                <w:rFonts w:ascii="仿宋" w:eastAsia="仿宋" w:hAnsi="仿宋" w:cs="仿宋_GB2312" w:hint="eastAsia"/>
                <w:sz w:val="24"/>
                <w:szCs w:val="24"/>
              </w:rPr>
              <w:t>线上</w:t>
            </w:r>
            <w:r w:rsidR="007C040B">
              <w:rPr>
                <w:rFonts w:ascii="仿宋" w:eastAsia="仿宋" w:hAnsi="仿宋" w:cs="仿宋_GB2312" w:hint="eastAsia"/>
                <w:sz w:val="24"/>
                <w:szCs w:val="24"/>
              </w:rPr>
              <w:t>M</w:t>
            </w:r>
            <w:r w:rsidR="007C040B">
              <w:rPr>
                <w:rFonts w:ascii="仿宋" w:eastAsia="仿宋" w:hAnsi="仿宋" w:cs="仿宋_GB2312"/>
                <w:sz w:val="24"/>
                <w:szCs w:val="24"/>
              </w:rPr>
              <w:t>OOC</w:t>
            </w:r>
            <w:r>
              <w:rPr>
                <w:rFonts w:ascii="仿宋" w:eastAsia="仿宋" w:hAnsi="仿宋" w:cs="仿宋_GB2312" w:hint="eastAsia"/>
                <w:sz w:val="24"/>
                <w:szCs w:val="24"/>
              </w:rPr>
              <w:t>视频</w:t>
            </w:r>
          </w:p>
          <w:p w14:paraId="228CD4DF" w14:textId="1D4E874E" w:rsidR="00390FE5" w:rsidRDefault="00B43F6A">
            <w:pPr>
              <w:rPr>
                <w:rFonts w:ascii="仿宋" w:eastAsia="仿宋" w:hAnsi="仿宋" w:cs="仿宋_GB2312"/>
                <w:sz w:val="24"/>
                <w:szCs w:val="24"/>
              </w:rPr>
            </w:pPr>
            <w:r>
              <w:rPr>
                <w:rFonts w:ascii="仿宋" w:eastAsia="仿宋" w:hAnsi="仿宋" w:cs="仿宋_GB2312" w:hint="eastAsia"/>
                <w:sz w:val="24"/>
                <w:szCs w:val="24"/>
              </w:rPr>
              <w:t>线上拓展资料</w:t>
            </w:r>
          </w:p>
          <w:p w14:paraId="7CCF4BA8" w14:textId="0C42401A" w:rsidR="00390FE5" w:rsidRDefault="00B43F6A" w:rsidP="007C040B">
            <w:pPr>
              <w:rPr>
                <w:rFonts w:ascii="仿宋" w:eastAsia="仿宋" w:hAnsi="仿宋" w:cs="仿宋_GB2312"/>
                <w:sz w:val="24"/>
                <w:szCs w:val="24"/>
              </w:rPr>
            </w:pPr>
            <w:r>
              <w:rPr>
                <w:rFonts w:ascii="仿宋" w:eastAsia="仿宋" w:hAnsi="仿宋" w:cs="仿宋_GB2312" w:hint="eastAsia"/>
                <w:sz w:val="24"/>
                <w:szCs w:val="24"/>
              </w:rPr>
              <w:t>教材案例：雅戈尔公司年报</w:t>
            </w:r>
          </w:p>
        </w:tc>
        <w:tc>
          <w:tcPr>
            <w:tcW w:w="2736" w:type="dxa"/>
          </w:tcPr>
          <w:p w14:paraId="37966604" w14:textId="77777777" w:rsidR="00390FE5" w:rsidRDefault="00B43F6A">
            <w:pPr>
              <w:rPr>
                <w:rFonts w:ascii="仿宋" w:eastAsia="仿宋" w:hAnsi="仿宋" w:cs="仿宋_GB2312"/>
                <w:sz w:val="24"/>
                <w:szCs w:val="24"/>
              </w:rPr>
            </w:pPr>
            <w:r>
              <w:rPr>
                <w:rFonts w:ascii="仿宋" w:eastAsia="仿宋" w:hAnsi="仿宋" w:cs="仿宋_GB2312" w:hint="eastAsia"/>
                <w:sz w:val="24"/>
                <w:szCs w:val="24"/>
              </w:rPr>
              <w:t>分析雅戈尔公司长期股权投资用哪种方法进行后续计量？如何计量？</w:t>
            </w:r>
          </w:p>
          <w:p w14:paraId="1FD47634" w14:textId="77777777" w:rsidR="00390FE5" w:rsidRDefault="00390FE5">
            <w:pPr>
              <w:rPr>
                <w:rFonts w:ascii="仿宋" w:eastAsia="仿宋" w:hAnsi="仿宋" w:cs="仿宋_GB2312"/>
                <w:sz w:val="24"/>
                <w:szCs w:val="24"/>
              </w:rPr>
            </w:pPr>
          </w:p>
        </w:tc>
      </w:tr>
      <w:tr w:rsidR="00390FE5" w14:paraId="74E60D48" w14:textId="77777777">
        <w:tc>
          <w:tcPr>
            <w:tcW w:w="2946" w:type="dxa"/>
          </w:tcPr>
          <w:p w14:paraId="646237F1" w14:textId="77777777" w:rsidR="00390FE5" w:rsidRDefault="00B43F6A">
            <w:pPr>
              <w:rPr>
                <w:rFonts w:ascii="仿宋" w:eastAsia="仿宋" w:hAnsi="仿宋" w:cs="仿宋_GB2312"/>
                <w:sz w:val="24"/>
                <w:szCs w:val="24"/>
              </w:rPr>
            </w:pPr>
            <w:r>
              <w:rPr>
                <w:rFonts w:ascii="仿宋" w:eastAsia="仿宋" w:hAnsi="仿宋" w:cs="仿宋_GB2312" w:hint="eastAsia"/>
                <w:sz w:val="24"/>
                <w:szCs w:val="24"/>
              </w:rPr>
              <w:t>长期股权投资的目的以及长期股权投资对公司财务状况和经营成果的影响</w:t>
            </w:r>
          </w:p>
        </w:tc>
        <w:tc>
          <w:tcPr>
            <w:tcW w:w="2840" w:type="dxa"/>
          </w:tcPr>
          <w:p w14:paraId="2708FC0F" w14:textId="77777777" w:rsidR="00390FE5" w:rsidRDefault="00B43F6A">
            <w:pPr>
              <w:rPr>
                <w:rFonts w:ascii="仿宋" w:eastAsia="仿宋" w:hAnsi="仿宋" w:cs="仿宋_GB2312"/>
                <w:sz w:val="24"/>
                <w:szCs w:val="24"/>
              </w:rPr>
            </w:pPr>
            <w:r>
              <w:rPr>
                <w:rFonts w:ascii="仿宋" w:eastAsia="仿宋" w:hAnsi="仿宋" w:cs="仿宋_GB2312" w:hint="eastAsia"/>
                <w:sz w:val="24"/>
                <w:szCs w:val="24"/>
              </w:rPr>
              <w:t>案例：雅戈尔公司年报</w:t>
            </w:r>
          </w:p>
        </w:tc>
        <w:tc>
          <w:tcPr>
            <w:tcW w:w="2736" w:type="dxa"/>
          </w:tcPr>
          <w:p w14:paraId="1EBA8752" w14:textId="77777777" w:rsidR="00390FE5" w:rsidRDefault="00B43F6A">
            <w:pPr>
              <w:rPr>
                <w:rFonts w:ascii="仿宋" w:eastAsia="仿宋" w:hAnsi="仿宋" w:cs="仿宋_GB2312"/>
                <w:sz w:val="24"/>
                <w:szCs w:val="24"/>
              </w:rPr>
            </w:pPr>
            <w:r>
              <w:rPr>
                <w:rFonts w:ascii="仿宋" w:eastAsia="仿宋" w:hAnsi="仿宋" w:cs="仿宋_GB2312" w:hint="eastAsia"/>
                <w:sz w:val="24"/>
                <w:szCs w:val="24"/>
              </w:rPr>
              <w:t>分析雅戈尔公司长期股权投资的目的以及长期股权投资对公司财务状况和经营成果的影响。</w:t>
            </w:r>
          </w:p>
        </w:tc>
      </w:tr>
    </w:tbl>
    <w:p w14:paraId="389881B6" w14:textId="77777777" w:rsidR="00390FE5" w:rsidRDefault="00390FE5"/>
    <w:p w14:paraId="4DB4F503" w14:textId="64A1D5D9" w:rsidR="00390FE5" w:rsidRDefault="00390FE5"/>
    <w:p w14:paraId="2F95CCB6" w14:textId="77777777" w:rsidR="007C040B" w:rsidRDefault="007C040B">
      <w:pPr>
        <w:rPr>
          <w:rFonts w:hint="eastAsia"/>
        </w:rPr>
      </w:pPr>
    </w:p>
    <w:p w14:paraId="32286263" w14:textId="77777777" w:rsidR="00390FE5" w:rsidRDefault="00B43F6A">
      <w:pPr>
        <w:pStyle w:val="2"/>
        <w:rPr>
          <w:rFonts w:ascii="黑体" w:eastAsia="黑体" w:hAnsi="黑体"/>
          <w:sz w:val="28"/>
          <w:szCs w:val="28"/>
        </w:rPr>
      </w:pPr>
      <w:r>
        <w:rPr>
          <w:rFonts w:ascii="黑体" w:eastAsia="黑体" w:hAnsi="黑体" w:hint="eastAsia"/>
          <w:sz w:val="28"/>
          <w:szCs w:val="28"/>
        </w:rPr>
        <w:lastRenderedPageBreak/>
        <w:t>三、学情分析</w:t>
      </w:r>
    </w:p>
    <w:p w14:paraId="525331D3" w14:textId="77777777" w:rsidR="00390FE5" w:rsidRDefault="00B43F6A">
      <w:pPr>
        <w:spacing w:line="360" w:lineRule="auto"/>
        <w:ind w:firstLineChars="200" w:firstLine="480"/>
        <w:rPr>
          <w:b/>
          <w:sz w:val="24"/>
          <w:szCs w:val="24"/>
        </w:rPr>
      </w:pPr>
      <w:r>
        <w:rPr>
          <w:rFonts w:ascii="仿宋" w:eastAsia="仿宋" w:hAnsi="仿宋" w:hint="eastAsia"/>
          <w:sz w:val="24"/>
          <w:szCs w:val="24"/>
        </w:rPr>
        <w:t>本课程的学习对象是财务管理专业二年级下学期的学生，经过先修课程《基础会计学》的学习，已掌握基本的会计核算方法，初步具备财务思维。班级绝大部分同学学习态度端正、勤于思考、学习能力强，且前期知识储备较为丰富，但是个别同学不善于探究问题，学习主动性较差。本章节是《中级财务会计》课程的重点和难点，和实务联系较为紧密，具有一定的难度，然后学生常局限于理论学习，在实务判断、处理方面有待提高。</w:t>
      </w:r>
    </w:p>
    <w:p w14:paraId="5CAB5EE4" w14:textId="77777777" w:rsidR="00390FE5" w:rsidRDefault="00B43F6A">
      <w:pPr>
        <w:pStyle w:val="2"/>
        <w:rPr>
          <w:rFonts w:ascii="黑体" w:eastAsia="黑体" w:hAnsi="黑体"/>
          <w:sz w:val="28"/>
          <w:szCs w:val="28"/>
        </w:rPr>
      </w:pPr>
      <w:r>
        <w:rPr>
          <w:rFonts w:ascii="黑体" w:eastAsia="黑体" w:hAnsi="黑体" w:hint="eastAsia"/>
          <w:sz w:val="28"/>
          <w:szCs w:val="28"/>
        </w:rPr>
        <w:t>四、教学方式方法</w:t>
      </w:r>
    </w:p>
    <w:p w14:paraId="3564389B" w14:textId="03BB6A40" w:rsidR="00390FE5" w:rsidRDefault="00B43F6A">
      <w:pPr>
        <w:spacing w:line="360" w:lineRule="auto"/>
        <w:ind w:firstLineChars="200" w:firstLine="482"/>
        <w:rPr>
          <w:rFonts w:ascii="仿宋" w:eastAsia="仿宋" w:hAnsi="仿宋" w:cs="仿宋_GB2312"/>
          <w:sz w:val="24"/>
          <w:szCs w:val="24"/>
        </w:rPr>
      </w:pPr>
      <w:r>
        <w:rPr>
          <w:rFonts w:ascii="仿宋" w:eastAsia="仿宋" w:hAnsi="仿宋" w:cs="仿宋_GB2312"/>
          <w:b/>
          <w:sz w:val="24"/>
          <w:szCs w:val="24"/>
        </w:rPr>
        <w:t>课前</w:t>
      </w:r>
      <w:r>
        <w:rPr>
          <w:rFonts w:ascii="仿宋" w:eastAsia="仿宋" w:hAnsi="仿宋" w:cs="仿宋_GB2312" w:hint="eastAsia"/>
          <w:b/>
          <w:sz w:val="24"/>
          <w:szCs w:val="24"/>
        </w:rPr>
        <w:t>：</w:t>
      </w:r>
      <w:r w:rsidR="007C040B">
        <w:rPr>
          <w:rFonts w:ascii="仿宋" w:eastAsia="仿宋" w:hAnsi="仿宋" w:cs="仿宋_GB2312" w:hint="eastAsia"/>
          <w:sz w:val="24"/>
          <w:szCs w:val="24"/>
        </w:rPr>
        <w:t>M</w:t>
      </w:r>
      <w:r w:rsidR="007C040B">
        <w:rPr>
          <w:rFonts w:ascii="仿宋" w:eastAsia="仿宋" w:hAnsi="仿宋" w:cs="仿宋_GB2312"/>
          <w:sz w:val="24"/>
          <w:szCs w:val="24"/>
        </w:rPr>
        <w:t>OOC</w:t>
      </w:r>
      <w:r w:rsidR="007C040B">
        <w:rPr>
          <w:rFonts w:ascii="仿宋" w:eastAsia="仿宋" w:hAnsi="仿宋" w:cs="仿宋_GB2312" w:hint="eastAsia"/>
          <w:sz w:val="24"/>
          <w:szCs w:val="24"/>
        </w:rPr>
        <w:t>平台</w:t>
      </w:r>
      <w:r>
        <w:rPr>
          <w:rFonts w:ascii="仿宋" w:eastAsia="仿宋" w:hAnsi="仿宋" w:cs="仿宋_GB2312" w:hint="eastAsia"/>
          <w:sz w:val="24"/>
          <w:szCs w:val="24"/>
        </w:rPr>
        <w:t>自主学习：视频资源观看、拓展资料阅读、案例资料网上收集，小组内部讨论。</w:t>
      </w:r>
    </w:p>
    <w:p w14:paraId="60DC5BBD" w14:textId="77777777" w:rsidR="00390FE5" w:rsidRDefault="00B43F6A">
      <w:pPr>
        <w:spacing w:line="360" w:lineRule="auto"/>
        <w:ind w:firstLineChars="200" w:firstLine="482"/>
        <w:rPr>
          <w:rFonts w:ascii="仿宋" w:eastAsia="仿宋" w:hAnsi="仿宋" w:cs="仿宋_GB2312"/>
          <w:b/>
          <w:sz w:val="24"/>
          <w:szCs w:val="24"/>
        </w:rPr>
      </w:pPr>
      <w:r>
        <w:rPr>
          <w:rFonts w:ascii="仿宋" w:eastAsia="仿宋" w:hAnsi="仿宋" w:cs="仿宋_GB2312" w:hint="eastAsia"/>
          <w:b/>
          <w:sz w:val="24"/>
          <w:szCs w:val="24"/>
        </w:rPr>
        <w:t>课中：（1）理论课：</w:t>
      </w:r>
      <w:r>
        <w:rPr>
          <w:rFonts w:ascii="仿宋" w:eastAsia="仿宋" w:hAnsi="仿宋" w:cs="仿宋_GB2312" w:hint="eastAsia"/>
          <w:sz w:val="24"/>
          <w:szCs w:val="24"/>
        </w:rPr>
        <w:t>五讲教学法（讲背景、讲热点、讲方法、讲重点、讲难点）、案例融入、课堂提问、边学边练。</w:t>
      </w:r>
    </w:p>
    <w:p w14:paraId="00B83BCE" w14:textId="77777777" w:rsidR="00390FE5" w:rsidRDefault="00B43F6A">
      <w:pPr>
        <w:spacing w:line="360" w:lineRule="auto"/>
        <w:ind w:firstLineChars="200" w:firstLine="482"/>
        <w:rPr>
          <w:rFonts w:ascii="仿宋" w:eastAsia="仿宋" w:hAnsi="仿宋" w:cs="仿宋_GB2312"/>
          <w:sz w:val="24"/>
          <w:szCs w:val="24"/>
        </w:rPr>
      </w:pPr>
      <w:r>
        <w:rPr>
          <w:rFonts w:ascii="仿宋" w:eastAsia="仿宋" w:hAnsi="仿宋" w:cs="仿宋_GB2312" w:hint="eastAsia"/>
          <w:b/>
          <w:sz w:val="24"/>
          <w:szCs w:val="24"/>
        </w:rPr>
        <w:t>（2）研讨课：</w:t>
      </w:r>
      <w:r>
        <w:rPr>
          <w:rFonts w:ascii="仿宋" w:eastAsia="仿宋" w:hAnsi="仿宋" w:cs="仿宋_GB2312" w:hint="eastAsia"/>
          <w:sz w:val="24"/>
          <w:szCs w:val="24"/>
        </w:rPr>
        <w:t>案例汇报展示、组间讨论、辩论、引导思考、总结提升。</w:t>
      </w:r>
    </w:p>
    <w:p w14:paraId="36DAEEA8" w14:textId="77777777" w:rsidR="00390FE5" w:rsidRDefault="00B43F6A">
      <w:pPr>
        <w:spacing w:line="360" w:lineRule="auto"/>
        <w:ind w:firstLineChars="200" w:firstLine="482"/>
        <w:rPr>
          <w:rFonts w:ascii="仿宋" w:eastAsia="仿宋" w:hAnsi="仿宋" w:cs="仿宋_GB2312"/>
          <w:sz w:val="24"/>
          <w:szCs w:val="24"/>
        </w:rPr>
      </w:pPr>
      <w:r>
        <w:rPr>
          <w:rFonts w:ascii="仿宋" w:eastAsia="仿宋" w:hAnsi="仿宋" w:cs="仿宋_GB2312" w:hint="eastAsia"/>
          <w:b/>
          <w:sz w:val="24"/>
          <w:szCs w:val="24"/>
        </w:rPr>
        <w:t>（3）实验课：</w:t>
      </w:r>
      <w:r>
        <w:rPr>
          <w:rFonts w:ascii="仿宋" w:eastAsia="仿宋" w:hAnsi="仿宋" w:cs="仿宋_GB2312" w:hint="eastAsia"/>
          <w:sz w:val="24"/>
          <w:szCs w:val="24"/>
        </w:rPr>
        <w:t>实验项目操作训练。</w:t>
      </w:r>
    </w:p>
    <w:p w14:paraId="08026BF1" w14:textId="68CC0B1D" w:rsidR="00390FE5" w:rsidRDefault="00B43F6A">
      <w:pPr>
        <w:spacing w:line="360" w:lineRule="auto"/>
        <w:ind w:firstLineChars="200" w:firstLine="482"/>
        <w:rPr>
          <w:rFonts w:ascii="仿宋" w:eastAsia="仿宋" w:hAnsi="仿宋"/>
          <w:sz w:val="24"/>
          <w:szCs w:val="24"/>
        </w:rPr>
      </w:pPr>
      <w:r>
        <w:rPr>
          <w:rFonts w:ascii="仿宋" w:eastAsia="仿宋" w:hAnsi="仿宋" w:cs="仿宋_GB2312" w:hint="eastAsia"/>
          <w:b/>
          <w:sz w:val="24"/>
          <w:szCs w:val="24"/>
        </w:rPr>
        <w:t>课后：</w:t>
      </w:r>
      <w:r w:rsidR="007C040B">
        <w:rPr>
          <w:rFonts w:ascii="仿宋" w:eastAsia="仿宋" w:hAnsi="仿宋" w:cs="仿宋_GB2312" w:hint="eastAsia"/>
          <w:b/>
          <w:sz w:val="24"/>
          <w:szCs w:val="24"/>
        </w:rPr>
        <w:t>M</w:t>
      </w:r>
      <w:r w:rsidR="007C040B">
        <w:rPr>
          <w:rFonts w:ascii="仿宋" w:eastAsia="仿宋" w:hAnsi="仿宋" w:cs="仿宋_GB2312"/>
          <w:b/>
          <w:sz w:val="24"/>
          <w:szCs w:val="24"/>
        </w:rPr>
        <w:t>OOC</w:t>
      </w:r>
      <w:r>
        <w:rPr>
          <w:rFonts w:ascii="仿宋" w:eastAsia="仿宋" w:hAnsi="仿宋" w:cs="仿宋_GB2312" w:hint="eastAsia"/>
          <w:sz w:val="24"/>
          <w:szCs w:val="24"/>
        </w:rPr>
        <w:t>线上自我测试、</w:t>
      </w:r>
      <w:r w:rsidR="007C040B">
        <w:rPr>
          <w:rFonts w:ascii="仿宋" w:eastAsia="仿宋" w:hAnsi="仿宋" w:cs="仿宋_GB2312" w:hint="eastAsia"/>
          <w:sz w:val="24"/>
          <w:szCs w:val="24"/>
        </w:rPr>
        <w:t>配套习题</w:t>
      </w:r>
      <w:r>
        <w:rPr>
          <w:rFonts w:ascii="仿宋" w:eastAsia="仿宋" w:hAnsi="仿宋" w:cs="仿宋_GB2312" w:hint="eastAsia"/>
          <w:sz w:val="24"/>
          <w:szCs w:val="24"/>
        </w:rPr>
        <w:t>、</w:t>
      </w:r>
      <w:r w:rsidR="007C040B">
        <w:rPr>
          <w:rFonts w:ascii="仿宋" w:eastAsia="仿宋" w:hAnsi="仿宋" w:cs="仿宋_GB2312" w:hint="eastAsia"/>
          <w:sz w:val="24"/>
          <w:szCs w:val="24"/>
        </w:rPr>
        <w:t>微信、钉钉和</w:t>
      </w:r>
      <w:r w:rsidR="007C040B">
        <w:rPr>
          <w:rFonts w:ascii="仿宋" w:eastAsia="仿宋" w:hAnsi="仿宋" w:cs="仿宋_GB2312"/>
          <w:sz w:val="24"/>
          <w:szCs w:val="24"/>
        </w:rPr>
        <w:t>QQ</w:t>
      </w:r>
      <w:r w:rsidR="007C040B">
        <w:rPr>
          <w:rFonts w:ascii="仿宋" w:eastAsia="仿宋" w:hAnsi="仿宋" w:cs="仿宋_GB2312" w:hint="eastAsia"/>
          <w:sz w:val="24"/>
          <w:szCs w:val="24"/>
        </w:rPr>
        <w:t>群等交流答疑</w:t>
      </w:r>
      <w:r>
        <w:rPr>
          <w:rFonts w:ascii="仿宋" w:eastAsia="仿宋" w:hAnsi="仿宋" w:hint="eastAsia"/>
          <w:sz w:val="24"/>
          <w:szCs w:val="24"/>
        </w:rPr>
        <w:t>。</w:t>
      </w:r>
    </w:p>
    <w:p w14:paraId="5FF3B160" w14:textId="77777777" w:rsidR="00390FE5" w:rsidRPr="007C040B" w:rsidRDefault="00390FE5"/>
    <w:p w14:paraId="22E88BE4" w14:textId="77777777" w:rsidR="00390FE5" w:rsidRDefault="00B43F6A">
      <w:pPr>
        <w:pStyle w:val="2"/>
        <w:snapToGrid w:val="0"/>
        <w:spacing w:before="0" w:after="0" w:line="360" w:lineRule="auto"/>
        <w:rPr>
          <w:rFonts w:ascii="黑体" w:eastAsia="黑体" w:hAnsi="黑体" w:cs="仿宋_GB2312"/>
          <w:sz w:val="24"/>
          <w:szCs w:val="24"/>
        </w:rPr>
      </w:pPr>
      <w:r>
        <w:rPr>
          <w:rFonts w:ascii="黑体" w:eastAsia="黑体" w:hAnsi="黑体" w:hint="eastAsia"/>
          <w:sz w:val="28"/>
          <w:szCs w:val="28"/>
        </w:rPr>
        <w:t>五、教学设计详细说明</w:t>
      </w:r>
    </w:p>
    <w:p w14:paraId="4E4B5F67" w14:textId="0E8B1E24" w:rsidR="00390FE5" w:rsidRDefault="00B43F6A">
      <w:pPr>
        <w:ind w:firstLineChars="200" w:firstLine="480"/>
        <w:rPr>
          <w:rFonts w:ascii="仿宋" w:eastAsia="仿宋" w:hAnsi="仿宋" w:cs="仿宋_GB2312"/>
          <w:sz w:val="24"/>
          <w:szCs w:val="24"/>
        </w:rPr>
      </w:pPr>
      <w:r>
        <w:rPr>
          <w:rFonts w:ascii="仿宋" w:eastAsia="仿宋" w:hAnsi="仿宋" w:cs="仿宋_GB2312"/>
          <w:sz w:val="24"/>
          <w:szCs w:val="24"/>
        </w:rPr>
        <w:t>以</w:t>
      </w:r>
      <w:r>
        <w:rPr>
          <w:rFonts w:ascii="仿宋" w:eastAsia="仿宋" w:hAnsi="仿宋" w:cs="仿宋_GB2312" w:hint="eastAsia"/>
          <w:sz w:val="24"/>
          <w:szCs w:val="24"/>
        </w:rPr>
        <w:t>“长期股权投资”</w:t>
      </w:r>
      <w:r>
        <w:rPr>
          <w:rFonts w:ascii="仿宋" w:eastAsia="仿宋" w:hAnsi="仿宋" w:cs="仿宋_GB2312"/>
          <w:sz w:val="24"/>
          <w:szCs w:val="24"/>
        </w:rPr>
        <w:t>的线下</w:t>
      </w:r>
      <w:r>
        <w:rPr>
          <w:rFonts w:ascii="仿宋" w:eastAsia="仿宋" w:hAnsi="仿宋" w:cs="仿宋_GB2312"/>
          <w:b/>
          <w:sz w:val="24"/>
          <w:szCs w:val="24"/>
        </w:rPr>
        <w:t>研讨课</w:t>
      </w:r>
      <w:r>
        <w:rPr>
          <w:rFonts w:ascii="仿宋" w:eastAsia="仿宋" w:hAnsi="仿宋" w:cs="仿宋_GB2312"/>
          <w:sz w:val="24"/>
          <w:szCs w:val="24"/>
        </w:rPr>
        <w:t>为例</w:t>
      </w:r>
      <w:r>
        <w:rPr>
          <w:rFonts w:ascii="仿宋" w:eastAsia="仿宋" w:hAnsi="仿宋" w:cs="仿宋_GB2312" w:hint="eastAsia"/>
          <w:sz w:val="24"/>
          <w:szCs w:val="24"/>
        </w:rPr>
        <w:t>，</w:t>
      </w:r>
      <w:r>
        <w:rPr>
          <w:rFonts w:ascii="仿宋" w:eastAsia="仿宋" w:hAnsi="仿宋" w:cs="仿宋_GB2312"/>
          <w:sz w:val="24"/>
          <w:szCs w:val="24"/>
        </w:rPr>
        <w:t>具体说明教学设计和实施的过程</w:t>
      </w:r>
      <w:r>
        <w:rPr>
          <w:rFonts w:ascii="仿宋" w:eastAsia="仿宋" w:hAnsi="仿宋" w:cs="仿宋_GB2312" w:hint="eastAsia"/>
          <w:sz w:val="24"/>
          <w:szCs w:val="24"/>
        </w:rPr>
        <w:t>。研讨课一次课3节（135分钟），</w:t>
      </w:r>
      <w:r w:rsidR="005B5E79">
        <w:rPr>
          <w:rFonts w:ascii="仿宋" w:eastAsia="仿宋" w:hAnsi="仿宋" w:cs="仿宋_GB2312" w:hint="eastAsia"/>
          <w:sz w:val="24"/>
          <w:szCs w:val="24"/>
        </w:rPr>
        <w:t>根据学生人数</w:t>
      </w:r>
      <w:r>
        <w:rPr>
          <w:rFonts w:ascii="仿宋" w:eastAsia="仿宋" w:hAnsi="仿宋" w:cs="仿宋_GB2312" w:hint="eastAsia"/>
          <w:sz w:val="24"/>
          <w:szCs w:val="24"/>
        </w:rPr>
        <w:t>分为</w:t>
      </w:r>
      <w:r>
        <w:rPr>
          <w:rFonts w:ascii="仿宋" w:eastAsia="仿宋" w:hAnsi="仿宋" w:cs="仿宋_GB2312"/>
          <w:sz w:val="24"/>
          <w:szCs w:val="24"/>
        </w:rPr>
        <w:t>6</w:t>
      </w:r>
      <w:r>
        <w:rPr>
          <w:rFonts w:ascii="仿宋" w:eastAsia="仿宋" w:hAnsi="仿宋" w:cs="仿宋_GB2312" w:hint="eastAsia"/>
          <w:sz w:val="24"/>
          <w:szCs w:val="24"/>
        </w:rPr>
        <w:t>个学习小组。</w:t>
      </w:r>
    </w:p>
    <w:p w14:paraId="3C97C763" w14:textId="77777777" w:rsidR="00390FE5" w:rsidRDefault="00B43F6A">
      <w:pPr>
        <w:ind w:firstLineChars="200" w:firstLine="482"/>
        <w:rPr>
          <w:rFonts w:ascii="仿宋" w:eastAsia="仿宋" w:hAnsi="仿宋" w:cs="仿宋_GB2312"/>
          <w:b/>
          <w:sz w:val="24"/>
          <w:szCs w:val="24"/>
        </w:rPr>
      </w:pPr>
      <w:r>
        <w:rPr>
          <w:rFonts w:ascii="仿宋" w:eastAsia="仿宋" w:hAnsi="仿宋" w:cs="仿宋_GB2312" w:hint="eastAsia"/>
          <w:b/>
          <w:sz w:val="24"/>
          <w:szCs w:val="24"/>
        </w:rPr>
        <w:t>选用的案例：雅戈尔公司年度报告。</w:t>
      </w:r>
    </w:p>
    <w:p w14:paraId="25C8FA0E" w14:textId="77777777" w:rsidR="00390FE5" w:rsidRDefault="00B43F6A">
      <w:pPr>
        <w:ind w:firstLineChars="200" w:firstLine="480"/>
        <w:rPr>
          <w:rFonts w:ascii="仿宋" w:eastAsia="仿宋" w:hAnsi="仿宋" w:cs="仿宋_GB2312"/>
          <w:sz w:val="24"/>
          <w:szCs w:val="24"/>
        </w:rPr>
      </w:pPr>
      <w:r>
        <w:rPr>
          <w:rFonts w:ascii="仿宋" w:eastAsia="仿宋" w:hAnsi="仿宋" w:cs="仿宋_GB2312" w:hint="eastAsia"/>
          <w:sz w:val="24"/>
          <w:szCs w:val="24"/>
        </w:rPr>
        <w:t>课堂研讨实施过程如图1所示。</w:t>
      </w:r>
    </w:p>
    <w:p w14:paraId="2A2DC3CD" w14:textId="77777777" w:rsidR="00390FE5" w:rsidRDefault="00B43F6A">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noProof/>
          <w:sz w:val="24"/>
          <w:szCs w:val="24"/>
        </w:rPr>
        <w:drawing>
          <wp:inline distT="0" distB="0" distL="0" distR="0" wp14:anchorId="64B70DD9" wp14:editId="5D9B1B7E">
            <wp:extent cx="5140960" cy="1913255"/>
            <wp:effectExtent l="19050" t="0" r="2153"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srcRect/>
                    <a:stretch>
                      <a:fillRect/>
                    </a:stretch>
                  </pic:blipFill>
                  <pic:spPr>
                    <a:xfrm>
                      <a:off x="0" y="0"/>
                      <a:ext cx="5141670" cy="1913966"/>
                    </a:xfrm>
                    <a:prstGeom prst="rect">
                      <a:avLst/>
                    </a:prstGeom>
                    <a:noFill/>
                    <a:ln w="9525">
                      <a:noFill/>
                      <a:miter lim="800000"/>
                      <a:headEnd/>
                      <a:tailEnd/>
                    </a:ln>
                  </pic:spPr>
                </pic:pic>
              </a:graphicData>
            </a:graphic>
          </wp:inline>
        </w:drawing>
      </w:r>
    </w:p>
    <w:p w14:paraId="38BD6BB6" w14:textId="77777777" w:rsidR="00390FE5" w:rsidRDefault="00B43F6A">
      <w:pPr>
        <w:jc w:val="center"/>
        <w:rPr>
          <w:rFonts w:ascii="黑体" w:eastAsia="黑体" w:hAnsi="黑体"/>
          <w:szCs w:val="21"/>
        </w:rPr>
      </w:pPr>
      <w:r>
        <w:rPr>
          <w:rFonts w:ascii="黑体" w:eastAsia="黑体" w:hAnsi="黑体" w:hint="eastAsia"/>
          <w:szCs w:val="21"/>
        </w:rPr>
        <w:t>图1  课堂研讨实施过程</w:t>
      </w:r>
    </w:p>
    <w:p w14:paraId="55D9EF98" w14:textId="77777777" w:rsidR="00390FE5" w:rsidRDefault="00390FE5">
      <w:pPr>
        <w:jc w:val="left"/>
        <w:rPr>
          <w:rFonts w:ascii="仿宋" w:eastAsia="仿宋" w:hAnsi="仿宋" w:cs="仿宋_GB2312"/>
          <w:sz w:val="24"/>
          <w:szCs w:val="24"/>
        </w:rPr>
      </w:pPr>
    </w:p>
    <w:p w14:paraId="24C98931" w14:textId="77777777" w:rsidR="00390FE5" w:rsidRDefault="00390FE5">
      <w:pPr>
        <w:jc w:val="left"/>
        <w:rPr>
          <w:rFonts w:ascii="仿宋" w:eastAsia="仿宋" w:hAnsi="仿宋" w:cs="仿宋_GB2312"/>
          <w:sz w:val="24"/>
          <w:szCs w:val="24"/>
        </w:rPr>
      </w:pPr>
    </w:p>
    <w:p w14:paraId="62A0D0A6" w14:textId="77777777" w:rsidR="00390FE5" w:rsidRDefault="00390FE5">
      <w:pPr>
        <w:jc w:val="left"/>
        <w:rPr>
          <w:rFonts w:ascii="仿宋" w:eastAsia="仿宋" w:hAnsi="仿宋" w:cs="仿宋_GB2312"/>
          <w:sz w:val="24"/>
          <w:szCs w:val="24"/>
        </w:rPr>
      </w:pPr>
    </w:p>
    <w:p w14:paraId="4E7164D1" w14:textId="77777777" w:rsidR="00390FE5" w:rsidRDefault="00B43F6A">
      <w:pPr>
        <w:jc w:val="left"/>
        <w:rPr>
          <w:rFonts w:ascii="仿宋" w:eastAsia="仿宋" w:hAnsi="仿宋" w:cs="仿宋_GB2312"/>
          <w:sz w:val="24"/>
          <w:szCs w:val="24"/>
        </w:rPr>
      </w:pPr>
      <w:r>
        <w:rPr>
          <w:rFonts w:ascii="仿宋" w:eastAsia="仿宋" w:hAnsi="仿宋" w:cs="仿宋_GB2312" w:hint="eastAsia"/>
          <w:sz w:val="24"/>
          <w:szCs w:val="24"/>
        </w:rPr>
        <w:t>具体设计如下：</w:t>
      </w:r>
    </w:p>
    <w:tbl>
      <w:tblPr>
        <w:tblStyle w:val="ad"/>
        <w:tblW w:w="8930" w:type="dxa"/>
        <w:jc w:val="center"/>
        <w:tblLayout w:type="fixed"/>
        <w:tblLook w:val="04A0" w:firstRow="1" w:lastRow="0" w:firstColumn="1" w:lastColumn="0" w:noHBand="0" w:noVBand="1"/>
      </w:tblPr>
      <w:tblGrid>
        <w:gridCol w:w="5812"/>
        <w:gridCol w:w="1163"/>
        <w:gridCol w:w="850"/>
        <w:gridCol w:w="1105"/>
      </w:tblGrid>
      <w:tr w:rsidR="00390FE5" w14:paraId="4BED4825" w14:textId="77777777">
        <w:trPr>
          <w:jc w:val="center"/>
        </w:trPr>
        <w:tc>
          <w:tcPr>
            <w:tcW w:w="5812" w:type="dxa"/>
            <w:vAlign w:val="center"/>
          </w:tcPr>
          <w:p w14:paraId="6F359112" w14:textId="77777777" w:rsidR="00390FE5" w:rsidRDefault="00B43F6A">
            <w:pPr>
              <w:spacing w:line="360" w:lineRule="auto"/>
              <w:jc w:val="center"/>
              <w:rPr>
                <w:b/>
                <w:sz w:val="24"/>
                <w:szCs w:val="24"/>
              </w:rPr>
            </w:pPr>
            <w:r>
              <w:rPr>
                <w:b/>
                <w:sz w:val="24"/>
                <w:szCs w:val="24"/>
              </w:rPr>
              <w:t>教学内容</w:t>
            </w:r>
          </w:p>
        </w:tc>
        <w:tc>
          <w:tcPr>
            <w:tcW w:w="1163" w:type="dxa"/>
            <w:vAlign w:val="center"/>
          </w:tcPr>
          <w:p w14:paraId="750B55FF" w14:textId="77777777" w:rsidR="00390FE5" w:rsidRDefault="00B43F6A">
            <w:pPr>
              <w:spacing w:line="360" w:lineRule="auto"/>
              <w:jc w:val="center"/>
              <w:rPr>
                <w:b/>
                <w:sz w:val="24"/>
                <w:szCs w:val="24"/>
              </w:rPr>
            </w:pPr>
            <w:r>
              <w:rPr>
                <w:b/>
                <w:sz w:val="24"/>
                <w:szCs w:val="24"/>
              </w:rPr>
              <w:t>教学</w:t>
            </w:r>
          </w:p>
          <w:p w14:paraId="4EEF1E95" w14:textId="77777777" w:rsidR="00390FE5" w:rsidRDefault="00B43F6A">
            <w:pPr>
              <w:spacing w:line="360" w:lineRule="auto"/>
              <w:jc w:val="center"/>
              <w:rPr>
                <w:b/>
                <w:sz w:val="24"/>
                <w:szCs w:val="24"/>
              </w:rPr>
            </w:pPr>
            <w:r>
              <w:rPr>
                <w:b/>
                <w:sz w:val="24"/>
                <w:szCs w:val="24"/>
              </w:rPr>
              <w:t>方式</w:t>
            </w:r>
          </w:p>
        </w:tc>
        <w:tc>
          <w:tcPr>
            <w:tcW w:w="850" w:type="dxa"/>
            <w:vAlign w:val="center"/>
          </w:tcPr>
          <w:p w14:paraId="46751936" w14:textId="77777777" w:rsidR="00390FE5" w:rsidRDefault="00B43F6A">
            <w:pPr>
              <w:spacing w:line="360" w:lineRule="auto"/>
              <w:jc w:val="center"/>
              <w:rPr>
                <w:b/>
                <w:sz w:val="24"/>
                <w:szCs w:val="24"/>
              </w:rPr>
            </w:pPr>
            <w:r>
              <w:rPr>
                <w:b/>
                <w:sz w:val="24"/>
                <w:szCs w:val="24"/>
              </w:rPr>
              <w:t>预计</w:t>
            </w:r>
          </w:p>
          <w:p w14:paraId="155519B7" w14:textId="77777777" w:rsidR="00390FE5" w:rsidRDefault="00B43F6A">
            <w:pPr>
              <w:spacing w:line="360" w:lineRule="auto"/>
              <w:jc w:val="center"/>
              <w:rPr>
                <w:b/>
                <w:sz w:val="24"/>
                <w:szCs w:val="24"/>
              </w:rPr>
            </w:pPr>
            <w:r>
              <w:rPr>
                <w:b/>
                <w:sz w:val="24"/>
                <w:szCs w:val="24"/>
              </w:rPr>
              <w:t>时间</w:t>
            </w:r>
          </w:p>
        </w:tc>
        <w:tc>
          <w:tcPr>
            <w:tcW w:w="1105" w:type="dxa"/>
            <w:vAlign w:val="center"/>
          </w:tcPr>
          <w:p w14:paraId="7CC846F0" w14:textId="77777777" w:rsidR="00390FE5" w:rsidRDefault="00B43F6A">
            <w:pPr>
              <w:spacing w:line="360" w:lineRule="auto"/>
              <w:jc w:val="center"/>
              <w:rPr>
                <w:b/>
                <w:sz w:val="24"/>
                <w:szCs w:val="24"/>
              </w:rPr>
            </w:pPr>
            <w:r>
              <w:rPr>
                <w:b/>
                <w:sz w:val="24"/>
                <w:szCs w:val="24"/>
              </w:rPr>
              <w:t>教学</w:t>
            </w:r>
          </w:p>
          <w:p w14:paraId="2A564DA4" w14:textId="77777777" w:rsidR="00390FE5" w:rsidRDefault="00B43F6A">
            <w:pPr>
              <w:spacing w:line="360" w:lineRule="auto"/>
              <w:jc w:val="center"/>
              <w:rPr>
                <w:b/>
                <w:sz w:val="24"/>
                <w:szCs w:val="24"/>
              </w:rPr>
            </w:pPr>
            <w:r>
              <w:rPr>
                <w:b/>
                <w:sz w:val="24"/>
                <w:szCs w:val="24"/>
              </w:rPr>
              <w:t>目标</w:t>
            </w:r>
          </w:p>
        </w:tc>
      </w:tr>
      <w:tr w:rsidR="00390FE5" w14:paraId="48B9673E" w14:textId="77777777">
        <w:trPr>
          <w:jc w:val="center"/>
        </w:trPr>
        <w:tc>
          <w:tcPr>
            <w:tcW w:w="5812" w:type="dxa"/>
          </w:tcPr>
          <w:p w14:paraId="68F59CCA" w14:textId="77777777" w:rsidR="00390FE5" w:rsidRDefault="00B43F6A">
            <w:pPr>
              <w:rPr>
                <w:b/>
                <w:sz w:val="24"/>
                <w:szCs w:val="24"/>
              </w:rPr>
            </w:pPr>
            <w:r>
              <w:rPr>
                <w:rFonts w:hint="eastAsia"/>
                <w:b/>
                <w:sz w:val="24"/>
                <w:szCs w:val="24"/>
              </w:rPr>
              <w:t>1</w:t>
            </w:r>
            <w:r>
              <w:rPr>
                <w:rFonts w:hint="eastAsia"/>
                <w:b/>
                <w:sz w:val="24"/>
                <w:szCs w:val="24"/>
              </w:rPr>
              <w:t>．知识点回顾</w:t>
            </w:r>
          </w:p>
          <w:p w14:paraId="318CDA0F" w14:textId="77777777" w:rsidR="00390FE5" w:rsidRDefault="00390FE5">
            <w:pPr>
              <w:rPr>
                <w:rFonts w:ascii="仿宋" w:eastAsia="仿宋" w:hAnsi="仿宋" w:cs="仿宋_GB2312"/>
                <w:sz w:val="24"/>
                <w:szCs w:val="24"/>
              </w:rPr>
            </w:pPr>
          </w:p>
          <w:p w14:paraId="039641C7" w14:textId="77777777" w:rsidR="00390FE5" w:rsidRDefault="00B43F6A">
            <w:pPr>
              <w:rPr>
                <w:rFonts w:ascii="仿宋" w:eastAsia="仿宋" w:hAnsi="仿宋" w:cs="仿宋_GB2312"/>
                <w:sz w:val="24"/>
                <w:szCs w:val="24"/>
              </w:rPr>
            </w:pPr>
            <w:r>
              <w:rPr>
                <w:rFonts w:ascii="仿宋" w:eastAsia="仿宋" w:hAnsi="仿宋" w:cs="仿宋_GB2312" w:hint="eastAsia"/>
                <w:sz w:val="24"/>
                <w:szCs w:val="24"/>
              </w:rPr>
              <w:t>对长期股权投资的核心内容（初始计量和后续计量）进行梳理总结，结合相关案例回顾，加深对理论知识的理解。</w:t>
            </w:r>
          </w:p>
          <w:p w14:paraId="366617FB" w14:textId="77777777" w:rsidR="00390FE5" w:rsidRDefault="00390FE5">
            <w:pPr>
              <w:rPr>
                <w:rFonts w:ascii="仿宋" w:eastAsia="仿宋" w:hAnsi="仿宋" w:cs="仿宋_GB2312"/>
                <w:sz w:val="24"/>
                <w:szCs w:val="24"/>
              </w:rPr>
            </w:pPr>
          </w:p>
          <w:p w14:paraId="05B2C3DD" w14:textId="77777777" w:rsidR="00390FE5" w:rsidRDefault="00B43F6A">
            <w:pPr>
              <w:rPr>
                <w:b/>
                <w:sz w:val="24"/>
                <w:szCs w:val="24"/>
              </w:rPr>
            </w:pPr>
            <w:r>
              <w:rPr>
                <w:rFonts w:ascii="仿宋_GB2312" w:eastAsia="仿宋_GB2312" w:hAnsi="仿宋_GB2312" w:cs="仿宋_GB2312" w:hint="eastAsia"/>
                <w:noProof/>
                <w:sz w:val="24"/>
                <w:szCs w:val="24"/>
              </w:rPr>
              <w:drawing>
                <wp:inline distT="0" distB="0" distL="0" distR="0" wp14:anchorId="227A8C90" wp14:editId="526F3758">
                  <wp:extent cx="3447415" cy="1884045"/>
                  <wp:effectExtent l="19050" t="0" r="332" b="0"/>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noChangeArrowheads="1"/>
                          </pic:cNvPicPr>
                        </pic:nvPicPr>
                        <pic:blipFill>
                          <a:blip r:embed="rId9" cstate="print"/>
                          <a:srcRect/>
                          <a:stretch>
                            <a:fillRect/>
                          </a:stretch>
                        </pic:blipFill>
                        <pic:spPr>
                          <a:xfrm>
                            <a:off x="0" y="0"/>
                            <a:ext cx="3447935" cy="1884578"/>
                          </a:xfrm>
                          <a:prstGeom prst="rect">
                            <a:avLst/>
                          </a:prstGeom>
                          <a:noFill/>
                          <a:ln w="9525">
                            <a:noFill/>
                            <a:miter lim="800000"/>
                            <a:headEnd/>
                            <a:tailEnd/>
                          </a:ln>
                        </pic:spPr>
                      </pic:pic>
                    </a:graphicData>
                  </a:graphic>
                </wp:inline>
              </w:drawing>
            </w:r>
          </w:p>
        </w:tc>
        <w:tc>
          <w:tcPr>
            <w:tcW w:w="1163" w:type="dxa"/>
            <w:vAlign w:val="center"/>
          </w:tcPr>
          <w:p w14:paraId="3610BA4C" w14:textId="77777777" w:rsidR="00390FE5" w:rsidRDefault="00B43F6A">
            <w:pPr>
              <w:rPr>
                <w:rFonts w:ascii="仿宋" w:eastAsia="仿宋" w:hAnsi="仿宋"/>
                <w:b/>
                <w:sz w:val="24"/>
                <w:szCs w:val="24"/>
              </w:rPr>
            </w:pPr>
            <w:r>
              <w:rPr>
                <w:rFonts w:ascii="仿宋" w:eastAsia="仿宋" w:hAnsi="仿宋"/>
                <w:b/>
                <w:sz w:val="24"/>
                <w:szCs w:val="24"/>
              </w:rPr>
              <w:t>◇回顾与引导◇融入案例</w:t>
            </w:r>
          </w:p>
        </w:tc>
        <w:tc>
          <w:tcPr>
            <w:tcW w:w="850" w:type="dxa"/>
            <w:vAlign w:val="center"/>
          </w:tcPr>
          <w:p w14:paraId="3AC7B440" w14:textId="77777777" w:rsidR="00390FE5" w:rsidRDefault="00B43F6A">
            <w:pPr>
              <w:rPr>
                <w:rFonts w:ascii="仿宋" w:eastAsia="仿宋" w:hAnsi="仿宋"/>
                <w:b/>
                <w:sz w:val="24"/>
                <w:szCs w:val="24"/>
              </w:rPr>
            </w:pPr>
            <w:r>
              <w:rPr>
                <w:rFonts w:ascii="仿宋" w:eastAsia="仿宋" w:hAnsi="仿宋" w:hint="eastAsia"/>
                <w:b/>
                <w:sz w:val="24"/>
                <w:szCs w:val="24"/>
              </w:rPr>
              <w:t>10分钟</w:t>
            </w:r>
          </w:p>
        </w:tc>
        <w:tc>
          <w:tcPr>
            <w:tcW w:w="1105" w:type="dxa"/>
            <w:vAlign w:val="center"/>
          </w:tcPr>
          <w:p w14:paraId="1A5ACF66" w14:textId="77777777" w:rsidR="00390FE5" w:rsidRDefault="00B43F6A">
            <w:pPr>
              <w:rPr>
                <w:rFonts w:ascii="仿宋" w:eastAsia="仿宋" w:hAnsi="仿宋"/>
                <w:b/>
                <w:sz w:val="24"/>
                <w:szCs w:val="24"/>
              </w:rPr>
            </w:pPr>
            <w:r>
              <w:rPr>
                <w:rFonts w:ascii="仿宋" w:eastAsia="仿宋" w:hAnsi="仿宋"/>
                <w:b/>
                <w:sz w:val="24"/>
                <w:szCs w:val="24"/>
              </w:rPr>
              <w:t>◇知识点理解能力</w:t>
            </w:r>
          </w:p>
          <w:p w14:paraId="28D32EDC" w14:textId="77777777" w:rsidR="00390FE5" w:rsidRDefault="00B43F6A">
            <w:pPr>
              <w:rPr>
                <w:rFonts w:ascii="仿宋" w:eastAsia="仿宋" w:hAnsi="仿宋"/>
                <w:b/>
                <w:sz w:val="24"/>
                <w:szCs w:val="24"/>
              </w:rPr>
            </w:pPr>
            <w:r>
              <w:rPr>
                <w:rFonts w:ascii="仿宋" w:eastAsia="仿宋" w:hAnsi="仿宋"/>
                <w:b/>
                <w:sz w:val="24"/>
                <w:szCs w:val="24"/>
              </w:rPr>
              <w:t>◇总结概括能力</w:t>
            </w:r>
          </w:p>
        </w:tc>
      </w:tr>
      <w:tr w:rsidR="00390FE5" w14:paraId="5BA73E18" w14:textId="77777777">
        <w:trPr>
          <w:jc w:val="center"/>
        </w:trPr>
        <w:tc>
          <w:tcPr>
            <w:tcW w:w="5812" w:type="dxa"/>
          </w:tcPr>
          <w:p w14:paraId="0BBA8DA5" w14:textId="77777777" w:rsidR="00390FE5" w:rsidRDefault="00B43F6A">
            <w:pPr>
              <w:rPr>
                <w:b/>
                <w:sz w:val="24"/>
                <w:szCs w:val="24"/>
              </w:rPr>
            </w:pPr>
            <w:r>
              <w:rPr>
                <w:rFonts w:hint="eastAsia"/>
                <w:b/>
                <w:sz w:val="24"/>
                <w:szCs w:val="24"/>
              </w:rPr>
              <w:t>2.</w:t>
            </w:r>
            <w:r>
              <w:rPr>
                <w:rFonts w:hint="eastAsia"/>
                <w:b/>
                <w:sz w:val="24"/>
                <w:szCs w:val="24"/>
              </w:rPr>
              <w:t>明确本次课的教学目的</w:t>
            </w:r>
          </w:p>
          <w:p w14:paraId="0ED8976F" w14:textId="77777777" w:rsidR="00390FE5" w:rsidRDefault="00390FE5">
            <w:pPr>
              <w:rPr>
                <w:b/>
                <w:sz w:val="24"/>
                <w:szCs w:val="24"/>
              </w:rPr>
            </w:pPr>
          </w:p>
          <w:p w14:paraId="26364269" w14:textId="77777777" w:rsidR="00390FE5" w:rsidRDefault="00B43F6A">
            <w:pPr>
              <w:rPr>
                <w:b/>
                <w:sz w:val="24"/>
                <w:szCs w:val="24"/>
              </w:rPr>
            </w:pPr>
            <w:r>
              <w:rPr>
                <w:rFonts w:hint="eastAsia"/>
                <w:b/>
                <w:noProof/>
                <w:sz w:val="24"/>
                <w:szCs w:val="24"/>
              </w:rPr>
              <w:drawing>
                <wp:inline distT="0" distB="0" distL="0" distR="0" wp14:anchorId="0FAB0C4E" wp14:editId="3003BDF1">
                  <wp:extent cx="3397885" cy="1664335"/>
                  <wp:effectExtent l="0" t="0" r="12065" b="12065"/>
                  <wp:docPr id="2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pic:cNvPicPr>
                            <a:picLocks noChangeAspect="1" noChangeArrowheads="1"/>
                          </pic:cNvPicPr>
                        </pic:nvPicPr>
                        <pic:blipFill>
                          <a:blip r:embed="rId10" cstate="print"/>
                          <a:srcRect/>
                          <a:stretch>
                            <a:fillRect/>
                          </a:stretch>
                        </pic:blipFill>
                        <pic:spPr>
                          <a:xfrm>
                            <a:off x="0" y="0"/>
                            <a:ext cx="3397885" cy="1664335"/>
                          </a:xfrm>
                          <a:prstGeom prst="rect">
                            <a:avLst/>
                          </a:prstGeom>
                          <a:noFill/>
                          <a:ln w="9525">
                            <a:noFill/>
                            <a:miter lim="800000"/>
                            <a:headEnd/>
                            <a:tailEnd/>
                          </a:ln>
                        </pic:spPr>
                      </pic:pic>
                    </a:graphicData>
                  </a:graphic>
                </wp:inline>
              </w:drawing>
            </w:r>
          </w:p>
          <w:p w14:paraId="0A9E7BC2" w14:textId="77777777" w:rsidR="00390FE5" w:rsidRDefault="00390FE5">
            <w:pPr>
              <w:rPr>
                <w:b/>
                <w:sz w:val="24"/>
                <w:szCs w:val="24"/>
              </w:rPr>
            </w:pPr>
          </w:p>
          <w:p w14:paraId="7CFE6B22" w14:textId="77777777" w:rsidR="00390FE5" w:rsidRDefault="00B43F6A">
            <w:pPr>
              <w:rPr>
                <w:b/>
                <w:sz w:val="24"/>
                <w:szCs w:val="24"/>
              </w:rPr>
            </w:pPr>
            <w:r>
              <w:rPr>
                <w:b/>
                <w:noProof/>
                <w:sz w:val="24"/>
                <w:szCs w:val="24"/>
              </w:rPr>
              <w:drawing>
                <wp:inline distT="0" distB="0" distL="0" distR="0" wp14:anchorId="1A9A8378" wp14:editId="34B25FEC">
                  <wp:extent cx="3550285" cy="1590040"/>
                  <wp:effectExtent l="1905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noChangeArrowheads="1"/>
                          </pic:cNvPicPr>
                        </pic:nvPicPr>
                        <pic:blipFill>
                          <a:blip r:embed="rId11" cstate="print"/>
                          <a:srcRect/>
                          <a:stretch>
                            <a:fillRect/>
                          </a:stretch>
                        </pic:blipFill>
                        <pic:spPr>
                          <a:xfrm>
                            <a:off x="0" y="0"/>
                            <a:ext cx="3554095" cy="1591745"/>
                          </a:xfrm>
                          <a:prstGeom prst="rect">
                            <a:avLst/>
                          </a:prstGeom>
                          <a:noFill/>
                          <a:ln w="9525">
                            <a:noFill/>
                            <a:miter lim="800000"/>
                            <a:headEnd/>
                            <a:tailEnd/>
                          </a:ln>
                        </pic:spPr>
                      </pic:pic>
                    </a:graphicData>
                  </a:graphic>
                </wp:inline>
              </w:drawing>
            </w:r>
          </w:p>
        </w:tc>
        <w:tc>
          <w:tcPr>
            <w:tcW w:w="1163" w:type="dxa"/>
            <w:vAlign w:val="center"/>
          </w:tcPr>
          <w:p w14:paraId="4760F741" w14:textId="77777777" w:rsidR="00390FE5" w:rsidRDefault="00B43F6A">
            <w:pPr>
              <w:rPr>
                <w:rFonts w:ascii="仿宋" w:eastAsia="仿宋" w:hAnsi="仿宋"/>
                <w:b/>
                <w:sz w:val="24"/>
                <w:szCs w:val="24"/>
              </w:rPr>
            </w:pPr>
            <w:r>
              <w:rPr>
                <w:rFonts w:ascii="仿宋" w:eastAsia="仿宋" w:hAnsi="仿宋"/>
                <w:b/>
                <w:sz w:val="24"/>
                <w:szCs w:val="24"/>
              </w:rPr>
              <w:t>◇</w:t>
            </w:r>
            <w:r>
              <w:rPr>
                <w:rFonts w:ascii="仿宋" w:eastAsia="仿宋" w:hAnsi="仿宋" w:hint="eastAsia"/>
                <w:b/>
                <w:sz w:val="24"/>
                <w:szCs w:val="24"/>
              </w:rPr>
              <w:t>案例引入</w:t>
            </w:r>
          </w:p>
          <w:p w14:paraId="6DFA54D9" w14:textId="77777777" w:rsidR="00390FE5" w:rsidRDefault="00B43F6A">
            <w:pPr>
              <w:rPr>
                <w:rFonts w:ascii="仿宋" w:eastAsia="仿宋" w:hAnsi="仿宋"/>
                <w:b/>
                <w:sz w:val="24"/>
                <w:szCs w:val="24"/>
              </w:rPr>
            </w:pPr>
            <w:r>
              <w:rPr>
                <w:rFonts w:ascii="仿宋" w:eastAsia="仿宋" w:hAnsi="仿宋"/>
                <w:b/>
                <w:sz w:val="24"/>
                <w:szCs w:val="24"/>
              </w:rPr>
              <w:t>◇</w:t>
            </w:r>
            <w:r>
              <w:rPr>
                <w:rFonts w:ascii="仿宋" w:eastAsia="仿宋" w:hAnsi="仿宋" w:hint="eastAsia"/>
                <w:b/>
                <w:sz w:val="24"/>
                <w:szCs w:val="24"/>
              </w:rPr>
              <w:t>根据课程目标及单元目标倒推本次课的目的</w:t>
            </w:r>
          </w:p>
        </w:tc>
        <w:tc>
          <w:tcPr>
            <w:tcW w:w="850" w:type="dxa"/>
            <w:vAlign w:val="center"/>
          </w:tcPr>
          <w:p w14:paraId="3795F9AD" w14:textId="77777777" w:rsidR="00390FE5" w:rsidRDefault="00B43F6A">
            <w:pPr>
              <w:rPr>
                <w:rFonts w:ascii="仿宋" w:eastAsia="仿宋" w:hAnsi="仿宋"/>
                <w:b/>
                <w:sz w:val="24"/>
                <w:szCs w:val="24"/>
              </w:rPr>
            </w:pPr>
            <w:r>
              <w:rPr>
                <w:rFonts w:ascii="仿宋" w:eastAsia="仿宋" w:hAnsi="仿宋" w:hint="eastAsia"/>
                <w:b/>
                <w:sz w:val="24"/>
                <w:szCs w:val="24"/>
              </w:rPr>
              <w:t>5分钟</w:t>
            </w:r>
          </w:p>
        </w:tc>
        <w:tc>
          <w:tcPr>
            <w:tcW w:w="1105" w:type="dxa"/>
            <w:vAlign w:val="center"/>
          </w:tcPr>
          <w:p w14:paraId="0F982A9B" w14:textId="77777777" w:rsidR="00390FE5" w:rsidRDefault="00B43F6A">
            <w:pPr>
              <w:rPr>
                <w:rFonts w:ascii="仿宋" w:eastAsia="仿宋" w:hAnsi="仿宋"/>
                <w:b/>
                <w:sz w:val="24"/>
                <w:szCs w:val="24"/>
              </w:rPr>
            </w:pPr>
            <w:r>
              <w:rPr>
                <w:rFonts w:ascii="仿宋" w:eastAsia="仿宋" w:hAnsi="仿宋"/>
                <w:b/>
                <w:sz w:val="24"/>
                <w:szCs w:val="24"/>
              </w:rPr>
              <w:t>◇归纳</w:t>
            </w:r>
            <w:r>
              <w:rPr>
                <w:rFonts w:ascii="仿宋" w:eastAsia="仿宋" w:hAnsi="仿宋" w:hint="eastAsia"/>
                <w:b/>
                <w:sz w:val="24"/>
                <w:szCs w:val="24"/>
              </w:rPr>
              <w:t>、</w:t>
            </w:r>
            <w:r>
              <w:rPr>
                <w:rFonts w:ascii="仿宋" w:eastAsia="仿宋" w:hAnsi="仿宋"/>
                <w:b/>
                <w:sz w:val="24"/>
                <w:szCs w:val="24"/>
              </w:rPr>
              <w:t>提炼能力</w:t>
            </w:r>
          </w:p>
        </w:tc>
      </w:tr>
      <w:tr w:rsidR="00390FE5" w14:paraId="0F9A1F34" w14:textId="77777777">
        <w:trPr>
          <w:jc w:val="center"/>
        </w:trPr>
        <w:tc>
          <w:tcPr>
            <w:tcW w:w="5812" w:type="dxa"/>
          </w:tcPr>
          <w:p w14:paraId="3A060AFE" w14:textId="77777777" w:rsidR="00390FE5" w:rsidRDefault="00B43F6A">
            <w:pPr>
              <w:rPr>
                <w:b/>
                <w:bCs/>
                <w:sz w:val="24"/>
                <w:szCs w:val="24"/>
              </w:rPr>
            </w:pPr>
            <w:r>
              <w:rPr>
                <w:rFonts w:hint="eastAsia"/>
                <w:b/>
                <w:sz w:val="24"/>
                <w:szCs w:val="24"/>
              </w:rPr>
              <w:lastRenderedPageBreak/>
              <w:t>3.</w:t>
            </w:r>
            <w:r>
              <w:rPr>
                <w:rFonts w:hint="eastAsia"/>
                <w:b/>
                <w:sz w:val="24"/>
                <w:szCs w:val="24"/>
              </w:rPr>
              <w:t>小组汇报、组间研讨</w:t>
            </w:r>
          </w:p>
          <w:p w14:paraId="14E077CF" w14:textId="77777777" w:rsidR="00390FE5" w:rsidRDefault="00B43F6A">
            <w:pPr>
              <w:rPr>
                <w:rFonts w:ascii="仿宋" w:eastAsia="仿宋" w:hAnsi="仿宋"/>
                <w:b/>
                <w:bCs/>
                <w:sz w:val="24"/>
                <w:szCs w:val="24"/>
              </w:rPr>
            </w:pPr>
            <w:r>
              <w:rPr>
                <w:rFonts w:ascii="仿宋" w:eastAsia="仿宋" w:hAnsi="仿宋" w:cs="仿宋_GB2312" w:hint="eastAsia"/>
                <w:sz w:val="24"/>
                <w:szCs w:val="24"/>
              </w:rPr>
              <w:t>研讨是对自主学习和团队学习的检验以及团队之间进行分享和学习的过程。教师在这个过程中作为主持人，参与和引导学生的讨论。</w:t>
            </w:r>
          </w:p>
          <w:p w14:paraId="02610942" w14:textId="77777777" w:rsidR="00390FE5" w:rsidRDefault="00390FE5">
            <w:pPr>
              <w:rPr>
                <w:rFonts w:ascii="仿宋" w:eastAsia="仿宋" w:hAnsi="仿宋"/>
                <w:b/>
                <w:bCs/>
                <w:sz w:val="24"/>
                <w:szCs w:val="24"/>
              </w:rPr>
            </w:pPr>
          </w:p>
          <w:p w14:paraId="5FACE046" w14:textId="77777777" w:rsidR="00390FE5" w:rsidRDefault="00390FE5">
            <w:pPr>
              <w:rPr>
                <w:b/>
                <w:bCs/>
                <w:sz w:val="24"/>
                <w:szCs w:val="24"/>
              </w:rPr>
            </w:pPr>
          </w:p>
          <w:p w14:paraId="0624B939" w14:textId="77777777" w:rsidR="00390FE5" w:rsidRDefault="00390FE5">
            <w:pPr>
              <w:rPr>
                <w:b/>
                <w:bCs/>
                <w:sz w:val="24"/>
                <w:szCs w:val="24"/>
              </w:rPr>
            </w:pPr>
          </w:p>
          <w:p w14:paraId="49E27761" w14:textId="77777777" w:rsidR="00390FE5" w:rsidRDefault="00390FE5">
            <w:pPr>
              <w:rPr>
                <w:b/>
                <w:bCs/>
                <w:sz w:val="24"/>
                <w:szCs w:val="24"/>
              </w:rPr>
            </w:pPr>
          </w:p>
          <w:p w14:paraId="100A9C82" w14:textId="77777777" w:rsidR="00390FE5" w:rsidRDefault="00390FE5">
            <w:pPr>
              <w:rPr>
                <w:b/>
                <w:bCs/>
                <w:sz w:val="24"/>
                <w:szCs w:val="24"/>
              </w:rPr>
            </w:pPr>
          </w:p>
          <w:p w14:paraId="0222D9A8" w14:textId="77777777" w:rsidR="00390FE5" w:rsidRDefault="00390FE5">
            <w:pPr>
              <w:rPr>
                <w:b/>
                <w:bCs/>
                <w:sz w:val="24"/>
                <w:szCs w:val="24"/>
              </w:rPr>
            </w:pPr>
          </w:p>
          <w:p w14:paraId="0E04BEE0" w14:textId="77777777" w:rsidR="00390FE5" w:rsidRDefault="00390FE5">
            <w:pPr>
              <w:rPr>
                <w:b/>
                <w:bCs/>
                <w:sz w:val="24"/>
                <w:szCs w:val="24"/>
              </w:rPr>
            </w:pPr>
          </w:p>
        </w:tc>
        <w:tc>
          <w:tcPr>
            <w:tcW w:w="1163" w:type="dxa"/>
            <w:vAlign w:val="center"/>
          </w:tcPr>
          <w:p w14:paraId="671B5DBC" w14:textId="77777777" w:rsidR="00390FE5" w:rsidRDefault="00B43F6A">
            <w:pPr>
              <w:rPr>
                <w:rFonts w:ascii="仿宋" w:eastAsia="仿宋" w:hAnsi="仿宋"/>
                <w:b/>
                <w:sz w:val="24"/>
                <w:szCs w:val="24"/>
              </w:rPr>
            </w:pPr>
            <w:r>
              <w:rPr>
                <w:rFonts w:ascii="仿宋" w:eastAsia="仿宋" w:hAnsi="仿宋"/>
                <w:b/>
                <w:sz w:val="24"/>
                <w:szCs w:val="24"/>
              </w:rPr>
              <w:t>◇探究式学习◇参与式学习</w:t>
            </w:r>
          </w:p>
        </w:tc>
        <w:tc>
          <w:tcPr>
            <w:tcW w:w="850" w:type="dxa"/>
            <w:vAlign w:val="center"/>
          </w:tcPr>
          <w:p w14:paraId="1FE7D548" w14:textId="77777777" w:rsidR="00390FE5" w:rsidRDefault="00B43F6A">
            <w:pPr>
              <w:jc w:val="left"/>
              <w:rPr>
                <w:rFonts w:ascii="仿宋" w:eastAsia="仿宋" w:hAnsi="仿宋"/>
                <w:b/>
                <w:sz w:val="24"/>
                <w:szCs w:val="24"/>
              </w:rPr>
            </w:pPr>
            <w:r>
              <w:rPr>
                <w:rFonts w:ascii="仿宋" w:eastAsia="仿宋" w:hAnsi="仿宋" w:hint="eastAsia"/>
                <w:b/>
                <w:sz w:val="24"/>
                <w:szCs w:val="24"/>
              </w:rPr>
              <w:t>每组汇报10分钟，组间研讨8分钟</w:t>
            </w:r>
          </w:p>
        </w:tc>
        <w:tc>
          <w:tcPr>
            <w:tcW w:w="1105" w:type="dxa"/>
            <w:vAlign w:val="center"/>
          </w:tcPr>
          <w:p w14:paraId="1BEDF8C9" w14:textId="77777777" w:rsidR="00390FE5" w:rsidRDefault="00B43F6A">
            <w:pPr>
              <w:rPr>
                <w:rFonts w:ascii="仿宋" w:eastAsia="仿宋" w:hAnsi="仿宋"/>
                <w:b/>
                <w:sz w:val="24"/>
                <w:szCs w:val="24"/>
              </w:rPr>
            </w:pPr>
            <w:r>
              <w:rPr>
                <w:rFonts w:ascii="仿宋" w:eastAsia="仿宋" w:hAnsi="仿宋"/>
                <w:b/>
                <w:sz w:val="24"/>
                <w:szCs w:val="24"/>
              </w:rPr>
              <w:t>◇分析及应用能力</w:t>
            </w:r>
          </w:p>
          <w:p w14:paraId="136DF164" w14:textId="77777777" w:rsidR="00390FE5" w:rsidRDefault="00B43F6A">
            <w:pPr>
              <w:rPr>
                <w:rFonts w:ascii="仿宋" w:eastAsia="仿宋" w:hAnsi="仿宋"/>
                <w:b/>
                <w:sz w:val="24"/>
                <w:szCs w:val="24"/>
              </w:rPr>
            </w:pPr>
            <w:r>
              <w:rPr>
                <w:rFonts w:ascii="仿宋" w:eastAsia="仿宋" w:hAnsi="仿宋"/>
                <w:b/>
                <w:sz w:val="24"/>
                <w:szCs w:val="24"/>
              </w:rPr>
              <w:t>◇</w:t>
            </w:r>
            <w:r>
              <w:rPr>
                <w:rFonts w:ascii="仿宋" w:eastAsia="仿宋" w:hAnsi="仿宋" w:hint="eastAsia"/>
                <w:b/>
                <w:sz w:val="24"/>
                <w:szCs w:val="24"/>
              </w:rPr>
              <w:t>交流沟通能力</w:t>
            </w:r>
          </w:p>
          <w:p w14:paraId="7BD24FE8" w14:textId="77777777" w:rsidR="00390FE5" w:rsidRDefault="00B43F6A">
            <w:pPr>
              <w:rPr>
                <w:rFonts w:ascii="仿宋" w:eastAsia="仿宋" w:hAnsi="仿宋"/>
                <w:b/>
                <w:sz w:val="24"/>
                <w:szCs w:val="24"/>
              </w:rPr>
            </w:pPr>
            <w:r>
              <w:rPr>
                <w:rFonts w:ascii="仿宋" w:eastAsia="仿宋" w:hAnsi="仿宋"/>
                <w:b/>
                <w:sz w:val="24"/>
                <w:szCs w:val="24"/>
              </w:rPr>
              <w:t>◇质疑能力</w:t>
            </w:r>
          </w:p>
          <w:p w14:paraId="4E507B87" w14:textId="77777777" w:rsidR="00390FE5" w:rsidRDefault="00B43F6A">
            <w:pPr>
              <w:rPr>
                <w:rFonts w:ascii="仿宋" w:eastAsia="仿宋" w:hAnsi="仿宋"/>
                <w:b/>
                <w:sz w:val="24"/>
                <w:szCs w:val="24"/>
              </w:rPr>
            </w:pPr>
            <w:r>
              <w:rPr>
                <w:rFonts w:ascii="仿宋" w:eastAsia="仿宋" w:hAnsi="仿宋"/>
                <w:b/>
                <w:sz w:val="24"/>
                <w:szCs w:val="24"/>
              </w:rPr>
              <w:t>◇团队合作能力</w:t>
            </w:r>
          </w:p>
          <w:p w14:paraId="009FDAD0" w14:textId="77777777" w:rsidR="00390FE5" w:rsidRDefault="00B43F6A">
            <w:pPr>
              <w:rPr>
                <w:rFonts w:ascii="仿宋" w:eastAsia="仿宋" w:hAnsi="仿宋"/>
                <w:b/>
                <w:sz w:val="24"/>
                <w:szCs w:val="24"/>
              </w:rPr>
            </w:pPr>
            <w:r>
              <w:rPr>
                <w:rFonts w:ascii="仿宋" w:eastAsia="仿宋" w:hAnsi="仿宋"/>
                <w:b/>
                <w:sz w:val="24"/>
                <w:szCs w:val="24"/>
              </w:rPr>
              <w:t>◇培养批判性思维</w:t>
            </w:r>
          </w:p>
        </w:tc>
      </w:tr>
      <w:tr w:rsidR="00390FE5" w14:paraId="56DF86A5" w14:textId="77777777">
        <w:trPr>
          <w:jc w:val="center"/>
        </w:trPr>
        <w:tc>
          <w:tcPr>
            <w:tcW w:w="5812" w:type="dxa"/>
          </w:tcPr>
          <w:p w14:paraId="26ABC5DD" w14:textId="77777777" w:rsidR="00390FE5" w:rsidRDefault="00B43F6A">
            <w:pPr>
              <w:rPr>
                <w:b/>
                <w:sz w:val="24"/>
                <w:szCs w:val="24"/>
              </w:rPr>
            </w:pPr>
            <w:r>
              <w:rPr>
                <w:rFonts w:hint="eastAsia"/>
                <w:b/>
                <w:sz w:val="24"/>
                <w:szCs w:val="24"/>
              </w:rPr>
              <w:t>4.</w:t>
            </w:r>
            <w:r>
              <w:rPr>
                <w:rFonts w:hint="eastAsia"/>
                <w:b/>
                <w:sz w:val="24"/>
                <w:szCs w:val="24"/>
              </w:rPr>
              <w:t>考核评价</w:t>
            </w:r>
          </w:p>
          <w:p w14:paraId="26D28890" w14:textId="77777777" w:rsidR="00390FE5" w:rsidRDefault="00B43F6A">
            <w:pPr>
              <w:rPr>
                <w:rFonts w:ascii="仿宋" w:eastAsia="仿宋" w:hAnsi="仿宋" w:cs="仿宋_GB2312"/>
                <w:sz w:val="24"/>
                <w:szCs w:val="24"/>
              </w:rPr>
            </w:pPr>
            <w:r>
              <w:rPr>
                <w:rFonts w:ascii="仿宋" w:eastAsia="仿宋" w:hAnsi="仿宋" w:cs="仿宋_GB2312" w:hint="eastAsia"/>
                <w:sz w:val="24"/>
                <w:szCs w:val="24"/>
              </w:rPr>
              <w:t>研讨结束，进行本次课的成绩评价，成绩评价主要包括教师评价和学生互评两部分</w:t>
            </w:r>
            <w:r>
              <w:rPr>
                <w:rFonts w:ascii="仿宋" w:eastAsia="仿宋" w:hAnsi="仿宋" w:hint="eastAsia"/>
                <w:sz w:val="24"/>
                <w:szCs w:val="24"/>
              </w:rPr>
              <w:t>。</w:t>
            </w:r>
            <w:r>
              <w:rPr>
                <w:rFonts w:ascii="仿宋" w:eastAsia="仿宋" w:hAnsi="仿宋" w:cs="仿宋_GB2312" w:hint="eastAsia"/>
                <w:sz w:val="24"/>
                <w:szCs w:val="24"/>
              </w:rPr>
              <w:t>教师评价占60%，学生评价占40%。（1）</w:t>
            </w:r>
            <w:r>
              <w:rPr>
                <w:rFonts w:ascii="仿宋" w:eastAsia="仿宋" w:hAnsi="仿宋" w:cs="仿宋_GB2312" w:hint="eastAsia"/>
                <w:b/>
                <w:sz w:val="24"/>
                <w:szCs w:val="24"/>
              </w:rPr>
              <w:t>教师对每组的综合评定</w:t>
            </w:r>
            <w:r>
              <w:rPr>
                <w:rFonts w:ascii="仿宋" w:eastAsia="仿宋" w:hAnsi="仿宋" w:cs="仿宋_GB2312" w:hint="eastAsia"/>
                <w:sz w:val="24"/>
                <w:szCs w:val="24"/>
              </w:rPr>
              <w:t>及对每小组汇报人的评定，还包括整个研讨过程中学生参与的情况；（2）</w:t>
            </w:r>
            <w:r>
              <w:rPr>
                <w:rFonts w:ascii="仿宋" w:eastAsia="仿宋" w:hAnsi="仿宋" w:cs="仿宋_GB2312" w:hint="eastAsia"/>
                <w:b/>
                <w:sz w:val="24"/>
                <w:szCs w:val="24"/>
              </w:rPr>
              <w:t>学生小组之间的互相评价</w:t>
            </w:r>
            <w:r>
              <w:rPr>
                <w:rFonts w:ascii="仿宋" w:eastAsia="仿宋" w:hAnsi="仿宋" w:cs="仿宋_GB2312" w:hint="eastAsia"/>
                <w:sz w:val="24"/>
                <w:szCs w:val="24"/>
              </w:rPr>
              <w:t>。学生评价的参考标准包括：对研讨案例的剖析理解程度；汇报的语言表达；团队成员的互动、配合情况；PPT的设计、制作情况；团队整体状态。</w:t>
            </w:r>
          </w:p>
          <w:p w14:paraId="75CDD344" w14:textId="77777777" w:rsidR="00390FE5" w:rsidRDefault="00390FE5">
            <w:pPr>
              <w:rPr>
                <w:sz w:val="24"/>
                <w:szCs w:val="24"/>
              </w:rPr>
            </w:pPr>
          </w:p>
        </w:tc>
        <w:tc>
          <w:tcPr>
            <w:tcW w:w="1163" w:type="dxa"/>
            <w:vAlign w:val="center"/>
          </w:tcPr>
          <w:p w14:paraId="742EBCD1" w14:textId="77777777" w:rsidR="00390FE5" w:rsidRDefault="00B43F6A">
            <w:pPr>
              <w:rPr>
                <w:rFonts w:ascii="仿宋" w:eastAsia="仿宋" w:hAnsi="仿宋"/>
                <w:b/>
                <w:sz w:val="24"/>
                <w:szCs w:val="24"/>
              </w:rPr>
            </w:pPr>
            <w:r>
              <w:rPr>
                <w:rFonts w:ascii="仿宋" w:eastAsia="仿宋" w:hAnsi="仿宋"/>
                <w:b/>
                <w:sz w:val="24"/>
                <w:szCs w:val="24"/>
              </w:rPr>
              <w:t>◇多种方式考核评价</w:t>
            </w:r>
          </w:p>
        </w:tc>
        <w:tc>
          <w:tcPr>
            <w:tcW w:w="850" w:type="dxa"/>
            <w:vAlign w:val="center"/>
          </w:tcPr>
          <w:p w14:paraId="400E8FBE" w14:textId="77777777" w:rsidR="00390FE5" w:rsidRDefault="00B43F6A">
            <w:pPr>
              <w:rPr>
                <w:rFonts w:ascii="仿宋" w:eastAsia="仿宋" w:hAnsi="仿宋"/>
                <w:b/>
                <w:sz w:val="24"/>
                <w:szCs w:val="24"/>
              </w:rPr>
            </w:pPr>
            <w:r>
              <w:rPr>
                <w:rFonts w:ascii="仿宋" w:eastAsia="仿宋" w:hAnsi="仿宋" w:hint="eastAsia"/>
                <w:b/>
                <w:sz w:val="24"/>
                <w:szCs w:val="24"/>
              </w:rPr>
              <w:t>8分钟</w:t>
            </w:r>
          </w:p>
        </w:tc>
        <w:tc>
          <w:tcPr>
            <w:tcW w:w="1105" w:type="dxa"/>
            <w:vAlign w:val="center"/>
          </w:tcPr>
          <w:p w14:paraId="09AD4292" w14:textId="77777777" w:rsidR="00390FE5" w:rsidRDefault="00B43F6A">
            <w:pPr>
              <w:rPr>
                <w:b/>
                <w:sz w:val="24"/>
                <w:szCs w:val="24"/>
              </w:rPr>
            </w:pPr>
            <w:r>
              <w:rPr>
                <w:rFonts w:ascii="仿宋" w:eastAsia="仿宋" w:hAnsi="仿宋"/>
                <w:b/>
                <w:sz w:val="24"/>
                <w:szCs w:val="24"/>
              </w:rPr>
              <w:t>◇评价</w:t>
            </w:r>
            <w:r>
              <w:rPr>
                <w:rFonts w:ascii="仿宋" w:eastAsia="仿宋" w:hAnsi="仿宋" w:hint="eastAsia"/>
                <w:b/>
                <w:sz w:val="24"/>
                <w:szCs w:val="24"/>
              </w:rPr>
              <w:t>、</w:t>
            </w:r>
            <w:r>
              <w:rPr>
                <w:rFonts w:ascii="仿宋" w:eastAsia="仿宋" w:hAnsi="仿宋"/>
                <w:b/>
                <w:sz w:val="24"/>
                <w:szCs w:val="24"/>
              </w:rPr>
              <w:t>判断能力</w:t>
            </w:r>
          </w:p>
        </w:tc>
      </w:tr>
      <w:tr w:rsidR="00390FE5" w14:paraId="38A77071" w14:textId="77777777">
        <w:trPr>
          <w:jc w:val="center"/>
        </w:trPr>
        <w:tc>
          <w:tcPr>
            <w:tcW w:w="5812" w:type="dxa"/>
          </w:tcPr>
          <w:p w14:paraId="583D5D34" w14:textId="77777777" w:rsidR="00390FE5" w:rsidRDefault="00B43F6A">
            <w:pPr>
              <w:rPr>
                <w:b/>
                <w:sz w:val="24"/>
                <w:szCs w:val="24"/>
              </w:rPr>
            </w:pPr>
            <w:r>
              <w:rPr>
                <w:rFonts w:hint="eastAsia"/>
                <w:b/>
                <w:sz w:val="24"/>
                <w:szCs w:val="24"/>
              </w:rPr>
              <w:t>5.</w:t>
            </w:r>
            <w:r>
              <w:rPr>
                <w:rFonts w:hint="eastAsia"/>
                <w:b/>
                <w:sz w:val="24"/>
                <w:szCs w:val="24"/>
              </w:rPr>
              <w:t>教学总结及思考</w:t>
            </w:r>
          </w:p>
          <w:p w14:paraId="452D77FF" w14:textId="77777777" w:rsidR="00390FE5" w:rsidRDefault="00B43F6A">
            <w:pPr>
              <w:rPr>
                <w:rFonts w:ascii="仿宋" w:eastAsia="仿宋" w:hAnsi="仿宋"/>
                <w:b/>
                <w:sz w:val="24"/>
                <w:szCs w:val="24"/>
              </w:rPr>
            </w:pPr>
            <w:r>
              <w:rPr>
                <w:rFonts w:ascii="仿宋" w:eastAsia="仿宋" w:hAnsi="仿宋" w:cs="仿宋_GB2312" w:hint="eastAsia"/>
                <w:sz w:val="24"/>
                <w:szCs w:val="24"/>
              </w:rPr>
              <w:t>学生研讨结束，教师对本次课进行全面总结。对应本次研讨的问题和目的，</w:t>
            </w:r>
            <w:r>
              <w:rPr>
                <w:rFonts w:ascii="仿宋" w:eastAsia="仿宋" w:hAnsi="仿宋" w:cs="仿宋_GB2312" w:hint="eastAsia"/>
                <w:b/>
                <w:sz w:val="24"/>
                <w:szCs w:val="24"/>
              </w:rPr>
              <w:t>并且与前面章节相关的内容（金融资产）进行比较，引导学生把相关的知识点联系起来。</w:t>
            </w:r>
            <w:r>
              <w:rPr>
                <w:rFonts w:ascii="仿宋" w:eastAsia="仿宋" w:hAnsi="仿宋" w:cs="仿宋_GB2312" w:hint="eastAsia"/>
                <w:sz w:val="24"/>
                <w:szCs w:val="24"/>
              </w:rPr>
              <w:t>长期股权投资的初始计量和后续计量都有两种方法，前面学习的金融资产没有提到方法。根据这个情况引导学生思考</w:t>
            </w:r>
            <w:r>
              <w:rPr>
                <w:rFonts w:ascii="仿宋" w:eastAsia="仿宋" w:hAnsi="仿宋" w:cs="仿宋_GB2312" w:hint="eastAsia"/>
                <w:b/>
                <w:sz w:val="24"/>
                <w:szCs w:val="24"/>
              </w:rPr>
              <w:t>前面学习的几种金融资产初始计量和后续计量用的是什么方法？长期股权投资为什么有两种方法？</w:t>
            </w:r>
            <w:r>
              <w:rPr>
                <w:rFonts w:ascii="仿宋" w:eastAsia="仿宋" w:hAnsi="仿宋" w:cs="仿宋_GB2312"/>
                <w:b/>
                <w:sz w:val="24"/>
                <w:szCs w:val="24"/>
              </w:rPr>
              <w:t>对比分析总结</w:t>
            </w:r>
            <w:r>
              <w:rPr>
                <w:rFonts w:ascii="仿宋" w:eastAsia="仿宋" w:hAnsi="仿宋" w:cs="仿宋_GB2312" w:hint="eastAsia"/>
                <w:b/>
                <w:sz w:val="24"/>
                <w:szCs w:val="24"/>
              </w:rPr>
              <w:t>。</w:t>
            </w:r>
          </w:p>
          <w:p w14:paraId="7C613EE2" w14:textId="77777777" w:rsidR="00390FE5" w:rsidRDefault="00B43F6A">
            <w:pPr>
              <w:rPr>
                <w:b/>
                <w:sz w:val="24"/>
                <w:szCs w:val="24"/>
              </w:rPr>
            </w:pPr>
            <w:r>
              <w:rPr>
                <w:rFonts w:hint="eastAsia"/>
                <w:b/>
                <w:noProof/>
                <w:sz w:val="24"/>
                <w:szCs w:val="24"/>
              </w:rPr>
              <w:drawing>
                <wp:inline distT="0" distB="0" distL="0" distR="0" wp14:anchorId="3A16A598" wp14:editId="11DB8F4A">
                  <wp:extent cx="3495040" cy="1828800"/>
                  <wp:effectExtent l="19050" t="0" r="0" b="0"/>
                  <wp:docPr id="3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pic:cNvPicPr>
                            <a:picLocks noChangeAspect="1" noChangeArrowheads="1"/>
                          </pic:cNvPicPr>
                        </pic:nvPicPr>
                        <pic:blipFill>
                          <a:blip r:embed="rId12" cstate="print"/>
                          <a:srcRect/>
                          <a:stretch>
                            <a:fillRect/>
                          </a:stretch>
                        </pic:blipFill>
                        <pic:spPr>
                          <a:xfrm>
                            <a:off x="0" y="0"/>
                            <a:ext cx="3498595" cy="1830458"/>
                          </a:xfrm>
                          <a:prstGeom prst="rect">
                            <a:avLst/>
                          </a:prstGeom>
                          <a:noFill/>
                          <a:ln w="9525">
                            <a:noFill/>
                            <a:miter lim="800000"/>
                            <a:headEnd/>
                            <a:tailEnd/>
                          </a:ln>
                        </pic:spPr>
                      </pic:pic>
                    </a:graphicData>
                  </a:graphic>
                </wp:inline>
              </w:drawing>
            </w:r>
          </w:p>
          <w:p w14:paraId="39B66EB8" w14:textId="77777777" w:rsidR="00390FE5" w:rsidRDefault="00390FE5">
            <w:pPr>
              <w:rPr>
                <w:b/>
                <w:sz w:val="24"/>
                <w:szCs w:val="24"/>
              </w:rPr>
            </w:pPr>
          </w:p>
        </w:tc>
        <w:tc>
          <w:tcPr>
            <w:tcW w:w="1163" w:type="dxa"/>
            <w:vAlign w:val="center"/>
          </w:tcPr>
          <w:p w14:paraId="26C2642F" w14:textId="77777777" w:rsidR="00390FE5" w:rsidRDefault="00B43F6A">
            <w:pPr>
              <w:jc w:val="left"/>
              <w:rPr>
                <w:rFonts w:ascii="仿宋" w:eastAsia="仿宋" w:hAnsi="仿宋" w:cs="仿宋_GB2312"/>
                <w:b/>
                <w:sz w:val="24"/>
                <w:szCs w:val="24"/>
              </w:rPr>
            </w:pPr>
            <w:r>
              <w:rPr>
                <w:rFonts w:ascii="仿宋" w:eastAsia="仿宋" w:hAnsi="仿宋"/>
                <w:b/>
                <w:sz w:val="24"/>
                <w:szCs w:val="24"/>
              </w:rPr>
              <w:t>◇</w:t>
            </w:r>
            <w:r>
              <w:rPr>
                <w:rFonts w:ascii="仿宋" w:eastAsia="仿宋" w:hAnsi="仿宋" w:cs="仿宋_GB2312"/>
                <w:b/>
                <w:sz w:val="24"/>
                <w:szCs w:val="24"/>
              </w:rPr>
              <w:t>教师总结评论</w:t>
            </w:r>
          </w:p>
          <w:p w14:paraId="0A8A22AA" w14:textId="77777777" w:rsidR="00390FE5" w:rsidRDefault="00B43F6A">
            <w:pPr>
              <w:jc w:val="left"/>
              <w:rPr>
                <w:rFonts w:ascii="仿宋" w:eastAsia="仿宋" w:hAnsi="仿宋" w:cs="仿宋_GB2312"/>
                <w:b/>
                <w:sz w:val="24"/>
                <w:szCs w:val="24"/>
              </w:rPr>
            </w:pPr>
            <w:r>
              <w:rPr>
                <w:rFonts w:ascii="仿宋" w:eastAsia="仿宋" w:hAnsi="仿宋"/>
                <w:b/>
                <w:sz w:val="24"/>
                <w:szCs w:val="24"/>
              </w:rPr>
              <w:t>◇</w:t>
            </w:r>
            <w:r>
              <w:rPr>
                <w:rFonts w:ascii="仿宋" w:eastAsia="仿宋" w:hAnsi="仿宋" w:cs="仿宋_GB2312" w:hint="eastAsia"/>
                <w:b/>
                <w:sz w:val="24"/>
                <w:szCs w:val="24"/>
              </w:rPr>
              <w:t>延伸思考引导</w:t>
            </w:r>
          </w:p>
          <w:p w14:paraId="70608116" w14:textId="77777777" w:rsidR="00390FE5" w:rsidRDefault="00B43F6A">
            <w:pPr>
              <w:jc w:val="left"/>
              <w:rPr>
                <w:rFonts w:ascii="仿宋" w:eastAsia="仿宋" w:hAnsi="仿宋"/>
                <w:b/>
                <w:sz w:val="24"/>
                <w:szCs w:val="24"/>
              </w:rPr>
            </w:pPr>
            <w:r>
              <w:rPr>
                <w:rFonts w:ascii="仿宋" w:eastAsia="仿宋" w:hAnsi="仿宋"/>
                <w:b/>
                <w:sz w:val="24"/>
                <w:szCs w:val="24"/>
              </w:rPr>
              <w:t>◇</w:t>
            </w:r>
            <w:r>
              <w:rPr>
                <w:rFonts w:ascii="仿宋" w:eastAsia="仿宋" w:hAnsi="仿宋" w:cs="仿宋_GB2312" w:hint="eastAsia"/>
                <w:b/>
                <w:sz w:val="24"/>
                <w:szCs w:val="24"/>
              </w:rPr>
              <w:t>思政教育结合</w:t>
            </w:r>
          </w:p>
        </w:tc>
        <w:tc>
          <w:tcPr>
            <w:tcW w:w="850" w:type="dxa"/>
            <w:vAlign w:val="center"/>
          </w:tcPr>
          <w:p w14:paraId="41452513" w14:textId="77777777" w:rsidR="00390FE5" w:rsidRDefault="00B43F6A">
            <w:pPr>
              <w:jc w:val="left"/>
              <w:rPr>
                <w:rFonts w:ascii="仿宋" w:eastAsia="仿宋" w:hAnsi="仿宋"/>
                <w:b/>
                <w:sz w:val="24"/>
                <w:szCs w:val="24"/>
              </w:rPr>
            </w:pPr>
            <w:r>
              <w:rPr>
                <w:rFonts w:ascii="仿宋" w:eastAsia="仿宋" w:hAnsi="仿宋" w:hint="eastAsia"/>
                <w:b/>
                <w:sz w:val="24"/>
                <w:szCs w:val="24"/>
              </w:rPr>
              <w:t>10分钟</w:t>
            </w:r>
          </w:p>
          <w:p w14:paraId="14AC1BF4" w14:textId="77777777" w:rsidR="00390FE5" w:rsidRDefault="00390FE5">
            <w:pPr>
              <w:rPr>
                <w:rFonts w:ascii="仿宋" w:eastAsia="仿宋" w:hAnsi="仿宋"/>
                <w:b/>
                <w:sz w:val="24"/>
                <w:szCs w:val="24"/>
              </w:rPr>
            </w:pPr>
          </w:p>
        </w:tc>
        <w:tc>
          <w:tcPr>
            <w:tcW w:w="1105" w:type="dxa"/>
            <w:vAlign w:val="center"/>
          </w:tcPr>
          <w:p w14:paraId="29B90F26" w14:textId="77777777" w:rsidR="00390FE5" w:rsidRDefault="00B43F6A">
            <w:pPr>
              <w:jc w:val="left"/>
              <w:rPr>
                <w:rFonts w:ascii="仿宋" w:eastAsia="仿宋" w:hAnsi="仿宋" w:cs="仿宋_GB2312"/>
                <w:b/>
                <w:sz w:val="24"/>
                <w:szCs w:val="24"/>
              </w:rPr>
            </w:pPr>
            <w:r>
              <w:rPr>
                <w:rFonts w:ascii="仿宋" w:eastAsia="仿宋" w:hAnsi="仿宋"/>
                <w:b/>
                <w:sz w:val="24"/>
                <w:szCs w:val="24"/>
              </w:rPr>
              <w:t>◇</w:t>
            </w:r>
            <w:r>
              <w:rPr>
                <w:rFonts w:ascii="仿宋" w:eastAsia="仿宋" w:hAnsi="仿宋" w:cs="仿宋_GB2312" w:hint="eastAsia"/>
                <w:b/>
                <w:sz w:val="24"/>
                <w:szCs w:val="24"/>
              </w:rPr>
              <w:t>总结归纳能力</w:t>
            </w:r>
          </w:p>
          <w:p w14:paraId="3B86DE6D" w14:textId="77777777" w:rsidR="00390FE5" w:rsidRDefault="00B43F6A">
            <w:pPr>
              <w:jc w:val="left"/>
              <w:rPr>
                <w:rFonts w:ascii="仿宋" w:eastAsia="仿宋" w:hAnsi="仿宋"/>
                <w:b/>
                <w:sz w:val="24"/>
                <w:szCs w:val="24"/>
              </w:rPr>
            </w:pPr>
            <w:r>
              <w:rPr>
                <w:rFonts w:ascii="仿宋" w:eastAsia="仿宋" w:hAnsi="仿宋"/>
                <w:b/>
                <w:sz w:val="24"/>
                <w:szCs w:val="24"/>
              </w:rPr>
              <w:t>◇</w:t>
            </w:r>
            <w:r>
              <w:rPr>
                <w:rFonts w:ascii="仿宋" w:eastAsia="仿宋" w:hAnsi="仿宋" w:cs="仿宋_GB2312" w:hint="eastAsia"/>
                <w:b/>
                <w:sz w:val="24"/>
                <w:szCs w:val="24"/>
              </w:rPr>
              <w:t>深度分析、大胆质疑的能力</w:t>
            </w:r>
            <w:r>
              <w:rPr>
                <w:rFonts w:ascii="仿宋" w:eastAsia="仿宋" w:hAnsi="仿宋"/>
                <w:b/>
                <w:sz w:val="24"/>
                <w:szCs w:val="24"/>
              </w:rPr>
              <w:t>◇</w:t>
            </w:r>
            <w:r>
              <w:rPr>
                <w:rFonts w:ascii="仿宋" w:eastAsia="仿宋" w:hAnsi="仿宋" w:cs="仿宋_GB2312" w:hint="eastAsia"/>
                <w:b/>
                <w:sz w:val="24"/>
                <w:szCs w:val="24"/>
              </w:rPr>
              <w:t>提升课程的高阶性</w:t>
            </w:r>
          </w:p>
          <w:p w14:paraId="400FC939" w14:textId="77777777" w:rsidR="00390FE5" w:rsidRDefault="00390FE5">
            <w:pPr>
              <w:rPr>
                <w:rFonts w:ascii="仿宋" w:eastAsia="仿宋" w:hAnsi="仿宋"/>
                <w:b/>
                <w:sz w:val="24"/>
                <w:szCs w:val="24"/>
              </w:rPr>
            </w:pPr>
          </w:p>
        </w:tc>
      </w:tr>
      <w:tr w:rsidR="00390FE5" w14:paraId="432698B5" w14:textId="77777777">
        <w:trPr>
          <w:jc w:val="center"/>
        </w:trPr>
        <w:tc>
          <w:tcPr>
            <w:tcW w:w="5812" w:type="dxa"/>
          </w:tcPr>
          <w:p w14:paraId="0A9165A3" w14:textId="77777777" w:rsidR="00390FE5" w:rsidRDefault="00B43F6A">
            <w:pPr>
              <w:rPr>
                <w:b/>
                <w:sz w:val="24"/>
                <w:szCs w:val="24"/>
              </w:rPr>
            </w:pPr>
            <w:r>
              <w:rPr>
                <w:rFonts w:hint="eastAsia"/>
                <w:b/>
                <w:sz w:val="24"/>
                <w:szCs w:val="24"/>
              </w:rPr>
              <w:lastRenderedPageBreak/>
              <w:t>6.</w:t>
            </w:r>
            <w:r>
              <w:rPr>
                <w:b/>
                <w:sz w:val="24"/>
                <w:szCs w:val="24"/>
              </w:rPr>
              <w:t>布置课后作业</w:t>
            </w:r>
          </w:p>
          <w:p w14:paraId="06F4D5BE" w14:textId="77777777" w:rsidR="00390FE5" w:rsidRDefault="00B43F6A">
            <w:pPr>
              <w:rPr>
                <w:rFonts w:ascii="仿宋" w:eastAsia="仿宋" w:hAnsi="仿宋"/>
                <w:b/>
                <w:sz w:val="24"/>
                <w:szCs w:val="24"/>
              </w:rPr>
            </w:pPr>
            <w:r>
              <w:rPr>
                <w:rFonts w:ascii="仿宋" w:eastAsia="仿宋" w:hAnsi="仿宋" w:cs="仿宋_GB2312"/>
                <w:sz w:val="24"/>
                <w:szCs w:val="24"/>
              </w:rPr>
              <w:t>研讨课是长期股权投资这个单元学习的最后一次课</w:t>
            </w:r>
            <w:r>
              <w:rPr>
                <w:rFonts w:ascii="仿宋" w:eastAsia="仿宋" w:hAnsi="仿宋" w:cs="仿宋_GB2312" w:hint="eastAsia"/>
                <w:sz w:val="24"/>
                <w:szCs w:val="24"/>
              </w:rPr>
              <w:t>，</w:t>
            </w:r>
            <w:r>
              <w:rPr>
                <w:rFonts w:ascii="仿宋" w:eastAsia="仿宋" w:hAnsi="仿宋" w:cs="仿宋_GB2312"/>
                <w:sz w:val="24"/>
                <w:szCs w:val="24"/>
              </w:rPr>
              <w:t>在学习了本单元内容之后进行一次</w:t>
            </w:r>
            <w:r>
              <w:rPr>
                <w:rFonts w:ascii="仿宋" w:eastAsia="仿宋" w:hAnsi="仿宋" w:cs="仿宋_GB2312"/>
                <w:b/>
                <w:sz w:val="24"/>
                <w:szCs w:val="24"/>
              </w:rPr>
              <w:t>综合的项目训练</w:t>
            </w:r>
            <w:r>
              <w:rPr>
                <w:rFonts w:ascii="仿宋" w:eastAsia="仿宋" w:hAnsi="仿宋" w:cs="仿宋_GB2312" w:hint="eastAsia"/>
                <w:sz w:val="24"/>
                <w:szCs w:val="24"/>
              </w:rPr>
              <w:t>，</w:t>
            </w:r>
            <w:r>
              <w:rPr>
                <w:rFonts w:ascii="仿宋" w:eastAsia="仿宋" w:hAnsi="仿宋" w:cs="仿宋_GB2312"/>
                <w:sz w:val="24"/>
                <w:szCs w:val="24"/>
              </w:rPr>
              <w:t>针对企业发生的经济业务进行会计实务的操作</w:t>
            </w:r>
            <w:r>
              <w:rPr>
                <w:rFonts w:ascii="仿宋" w:eastAsia="仿宋" w:hAnsi="仿宋" w:cs="仿宋_GB2312" w:hint="eastAsia"/>
                <w:sz w:val="24"/>
                <w:szCs w:val="24"/>
              </w:rPr>
              <w:t>。</w:t>
            </w:r>
          </w:p>
        </w:tc>
        <w:tc>
          <w:tcPr>
            <w:tcW w:w="1163" w:type="dxa"/>
            <w:vAlign w:val="center"/>
          </w:tcPr>
          <w:p w14:paraId="79B87DFC" w14:textId="77777777" w:rsidR="00390FE5" w:rsidRDefault="00B43F6A">
            <w:pPr>
              <w:jc w:val="left"/>
              <w:rPr>
                <w:rFonts w:ascii="仿宋" w:eastAsia="仿宋" w:hAnsi="仿宋"/>
                <w:b/>
                <w:sz w:val="24"/>
                <w:szCs w:val="24"/>
              </w:rPr>
            </w:pPr>
            <w:r>
              <w:rPr>
                <w:rFonts w:ascii="仿宋" w:eastAsia="仿宋" w:hAnsi="仿宋"/>
                <w:b/>
                <w:sz w:val="24"/>
                <w:szCs w:val="24"/>
              </w:rPr>
              <w:t>◇课外延伸</w:t>
            </w:r>
          </w:p>
        </w:tc>
        <w:tc>
          <w:tcPr>
            <w:tcW w:w="850" w:type="dxa"/>
            <w:vAlign w:val="center"/>
          </w:tcPr>
          <w:p w14:paraId="35C633F1" w14:textId="77777777" w:rsidR="00390FE5" w:rsidRDefault="00B43F6A">
            <w:pPr>
              <w:rPr>
                <w:rFonts w:ascii="仿宋" w:eastAsia="仿宋" w:hAnsi="仿宋"/>
                <w:b/>
                <w:sz w:val="24"/>
                <w:szCs w:val="24"/>
              </w:rPr>
            </w:pPr>
            <w:r>
              <w:rPr>
                <w:rFonts w:ascii="仿宋" w:eastAsia="仿宋" w:hAnsi="仿宋" w:hint="eastAsia"/>
                <w:b/>
                <w:sz w:val="24"/>
                <w:szCs w:val="24"/>
              </w:rPr>
              <w:t>4分钟</w:t>
            </w:r>
          </w:p>
        </w:tc>
        <w:tc>
          <w:tcPr>
            <w:tcW w:w="1105" w:type="dxa"/>
            <w:vAlign w:val="center"/>
          </w:tcPr>
          <w:p w14:paraId="0FC38716" w14:textId="77777777" w:rsidR="00390FE5" w:rsidRDefault="00B43F6A">
            <w:pPr>
              <w:jc w:val="left"/>
              <w:rPr>
                <w:rFonts w:ascii="仿宋" w:eastAsia="仿宋" w:hAnsi="仿宋"/>
                <w:b/>
                <w:sz w:val="24"/>
                <w:szCs w:val="24"/>
              </w:rPr>
            </w:pPr>
            <w:r>
              <w:rPr>
                <w:rFonts w:ascii="仿宋" w:eastAsia="仿宋" w:hAnsi="仿宋"/>
                <w:b/>
                <w:sz w:val="24"/>
                <w:szCs w:val="24"/>
              </w:rPr>
              <w:t>◇思政目标</w:t>
            </w:r>
          </w:p>
          <w:p w14:paraId="5B2204FF" w14:textId="77777777" w:rsidR="00390FE5" w:rsidRDefault="00B43F6A">
            <w:pPr>
              <w:jc w:val="left"/>
              <w:rPr>
                <w:rFonts w:ascii="仿宋" w:eastAsia="仿宋" w:hAnsi="仿宋"/>
                <w:b/>
                <w:sz w:val="24"/>
                <w:szCs w:val="24"/>
              </w:rPr>
            </w:pPr>
            <w:r>
              <w:rPr>
                <w:rFonts w:ascii="仿宋" w:eastAsia="仿宋" w:hAnsi="仿宋"/>
                <w:b/>
                <w:sz w:val="24"/>
                <w:szCs w:val="24"/>
              </w:rPr>
              <w:t>◇个体</w:t>
            </w:r>
            <w:r>
              <w:rPr>
                <w:rFonts w:ascii="仿宋" w:eastAsia="仿宋" w:hAnsi="仿宋" w:hint="eastAsia"/>
                <w:b/>
                <w:sz w:val="24"/>
                <w:szCs w:val="24"/>
              </w:rPr>
              <w:t>素质培养</w:t>
            </w:r>
          </w:p>
        </w:tc>
      </w:tr>
      <w:tr w:rsidR="00390FE5" w14:paraId="2077B8BB" w14:textId="77777777">
        <w:trPr>
          <w:jc w:val="center"/>
        </w:trPr>
        <w:tc>
          <w:tcPr>
            <w:tcW w:w="8930" w:type="dxa"/>
            <w:gridSpan w:val="4"/>
          </w:tcPr>
          <w:p w14:paraId="3ABD2B13" w14:textId="77777777" w:rsidR="00390FE5" w:rsidRDefault="00B43F6A">
            <w:pPr>
              <w:jc w:val="left"/>
              <w:rPr>
                <w:b/>
                <w:sz w:val="24"/>
                <w:szCs w:val="24"/>
              </w:rPr>
            </w:pPr>
            <w:r>
              <w:rPr>
                <w:rFonts w:hint="eastAsia"/>
                <w:b/>
                <w:sz w:val="24"/>
                <w:szCs w:val="24"/>
              </w:rPr>
              <w:t>教学反思：</w:t>
            </w:r>
          </w:p>
          <w:p w14:paraId="23891274" w14:textId="77777777" w:rsidR="00390FE5" w:rsidRDefault="00B43F6A">
            <w:pPr>
              <w:ind w:firstLineChars="200" w:firstLine="482"/>
              <w:rPr>
                <w:rFonts w:ascii="仿宋" w:eastAsia="仿宋" w:hAnsi="仿宋" w:cs="仿宋_GB2312"/>
                <w:b/>
                <w:sz w:val="24"/>
                <w:szCs w:val="24"/>
              </w:rPr>
            </w:pPr>
            <w:r>
              <w:rPr>
                <w:rFonts w:ascii="仿宋" w:eastAsia="仿宋" w:hAnsi="仿宋" w:cs="仿宋_GB2312" w:hint="eastAsia"/>
                <w:b/>
                <w:sz w:val="24"/>
                <w:szCs w:val="24"/>
              </w:rPr>
              <w:t>本次研讨课堂，是学生线上学习成果的汇报与总结。线上自主学习结合线下合作研讨，唤醒了学生的主体意识，激发了学生学习的能动性，完全凸显了学生在课堂上的主体地位。本次课堂不仅强化了理论知识，更锻炼了学生分析问题、解决问题的能力，培养了学生的团队合作意识、交流沟通的能力，增进了师生之间的互动和情感交流。课堂上融入德育教育元素，使学生的综合素质得到提升。最后引申思考，提高了课程的高阶性。总体来说，本次课较好地实现了课程目标，有效支撑了专业的人才培养目标。不过，因学生人数较多且课时较为紧张，故每组学生人数偏多，一定程度上影响了研讨的效果。在以后的教学中应尽量小班化教学，优化课堂设计，让每一位学生更能充分感受研讨课堂的魅力。</w:t>
            </w:r>
          </w:p>
          <w:p w14:paraId="062A5125" w14:textId="76D34EF5" w:rsidR="007C040B" w:rsidRDefault="007C040B">
            <w:pPr>
              <w:ind w:firstLineChars="200" w:firstLine="482"/>
              <w:rPr>
                <w:rFonts w:ascii="仿宋_GB2312" w:eastAsia="仿宋_GB2312" w:hAnsi="仿宋_GB2312" w:cs="仿宋_GB2312" w:hint="eastAsia"/>
                <w:b/>
                <w:sz w:val="24"/>
                <w:szCs w:val="24"/>
              </w:rPr>
            </w:pPr>
          </w:p>
        </w:tc>
      </w:tr>
    </w:tbl>
    <w:p w14:paraId="2BF6B1EE" w14:textId="77777777" w:rsidR="00390FE5" w:rsidRDefault="00390FE5">
      <w:pPr>
        <w:ind w:firstLineChars="200" w:firstLine="482"/>
        <w:rPr>
          <w:b/>
          <w:sz w:val="24"/>
          <w:szCs w:val="24"/>
        </w:rPr>
      </w:pPr>
    </w:p>
    <w:p w14:paraId="3214C2B1" w14:textId="77777777" w:rsidR="00390FE5" w:rsidRDefault="00390FE5">
      <w:pPr>
        <w:ind w:firstLineChars="200" w:firstLine="482"/>
        <w:rPr>
          <w:b/>
          <w:sz w:val="24"/>
          <w:szCs w:val="24"/>
        </w:rPr>
      </w:pPr>
    </w:p>
    <w:p w14:paraId="617DC1DC" w14:textId="77777777" w:rsidR="00390FE5" w:rsidRDefault="00390FE5">
      <w:pPr>
        <w:ind w:firstLineChars="2200" w:firstLine="5280"/>
        <w:rPr>
          <w:rFonts w:ascii="仿宋_GB2312" w:eastAsia="仿宋_GB2312" w:hAnsi="仿宋_GB2312" w:cs="仿宋_GB2312"/>
          <w:sz w:val="24"/>
          <w:szCs w:val="24"/>
        </w:rPr>
      </w:pPr>
    </w:p>
    <w:p w14:paraId="285DD32C" w14:textId="7D8730E2" w:rsidR="0034113A" w:rsidRDefault="0034113A" w:rsidP="0034113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p>
    <w:p w14:paraId="40A54BD1" w14:textId="7332DCCA" w:rsidR="00390FE5" w:rsidRDefault="0034113A" w:rsidP="0034113A">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p>
    <w:sectPr w:rsidR="00390FE5">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80F1" w14:textId="77777777" w:rsidR="00A676AD" w:rsidRDefault="00A676AD">
      <w:r>
        <w:separator/>
      </w:r>
    </w:p>
  </w:endnote>
  <w:endnote w:type="continuationSeparator" w:id="0">
    <w:p w14:paraId="45B170A1" w14:textId="77777777" w:rsidR="00A676AD" w:rsidRDefault="00A6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0391"/>
      <w:docPartObj>
        <w:docPartGallery w:val="AutoText"/>
      </w:docPartObj>
    </w:sdtPr>
    <w:sdtContent>
      <w:p w14:paraId="7AECE04E" w14:textId="77777777" w:rsidR="00390FE5" w:rsidRDefault="00B43F6A">
        <w:pPr>
          <w:pStyle w:val="a7"/>
          <w:jc w:val="center"/>
        </w:pPr>
        <w:r>
          <w:fldChar w:fldCharType="begin"/>
        </w:r>
        <w:r>
          <w:instrText xml:space="preserve"> PAGE   \* MERGEFORMAT </w:instrText>
        </w:r>
        <w:r>
          <w:fldChar w:fldCharType="separate"/>
        </w:r>
        <w:r>
          <w:rPr>
            <w:lang w:val="zh-CN"/>
          </w:rPr>
          <w:t>6</w:t>
        </w:r>
        <w:r>
          <w:rPr>
            <w:lang w:val="zh-CN"/>
          </w:rPr>
          <w:fldChar w:fldCharType="end"/>
        </w:r>
      </w:p>
    </w:sdtContent>
  </w:sdt>
  <w:p w14:paraId="6C66048C" w14:textId="77777777" w:rsidR="00390FE5" w:rsidRDefault="00390F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EBF7" w14:textId="77777777" w:rsidR="00A676AD" w:rsidRDefault="00A676AD">
      <w:r>
        <w:separator/>
      </w:r>
    </w:p>
  </w:footnote>
  <w:footnote w:type="continuationSeparator" w:id="0">
    <w:p w14:paraId="7FE22370" w14:textId="77777777" w:rsidR="00A676AD" w:rsidRDefault="00A67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49D5"/>
    <w:rsid w:val="00042F2E"/>
    <w:rsid w:val="000476F7"/>
    <w:rsid w:val="00047AD9"/>
    <w:rsid w:val="00071BE7"/>
    <w:rsid w:val="00097434"/>
    <w:rsid w:val="000C0923"/>
    <w:rsid w:val="001057DE"/>
    <w:rsid w:val="00151FEB"/>
    <w:rsid w:val="00165E5F"/>
    <w:rsid w:val="00177E52"/>
    <w:rsid w:val="001948BA"/>
    <w:rsid w:val="001B053F"/>
    <w:rsid w:val="001B18FA"/>
    <w:rsid w:val="001B298B"/>
    <w:rsid w:val="001B715A"/>
    <w:rsid w:val="002008FE"/>
    <w:rsid w:val="002104F3"/>
    <w:rsid w:val="002111F4"/>
    <w:rsid w:val="00252203"/>
    <w:rsid w:val="002553A2"/>
    <w:rsid w:val="002746EA"/>
    <w:rsid w:val="00287BC5"/>
    <w:rsid w:val="002D1F0D"/>
    <w:rsid w:val="002E4DE5"/>
    <w:rsid w:val="002E789F"/>
    <w:rsid w:val="00305035"/>
    <w:rsid w:val="00312C3E"/>
    <w:rsid w:val="0034113A"/>
    <w:rsid w:val="003600DB"/>
    <w:rsid w:val="00370345"/>
    <w:rsid w:val="00390FE5"/>
    <w:rsid w:val="003940A8"/>
    <w:rsid w:val="003A0B6A"/>
    <w:rsid w:val="003C4232"/>
    <w:rsid w:val="004425F2"/>
    <w:rsid w:val="0044324A"/>
    <w:rsid w:val="0047098C"/>
    <w:rsid w:val="004A173A"/>
    <w:rsid w:val="004C7D3B"/>
    <w:rsid w:val="00570F36"/>
    <w:rsid w:val="00582A3B"/>
    <w:rsid w:val="00591412"/>
    <w:rsid w:val="005B5E79"/>
    <w:rsid w:val="00660EFB"/>
    <w:rsid w:val="006621F7"/>
    <w:rsid w:val="00665F24"/>
    <w:rsid w:val="00681289"/>
    <w:rsid w:val="00682DD3"/>
    <w:rsid w:val="006D6BBF"/>
    <w:rsid w:val="006E454E"/>
    <w:rsid w:val="006E65C2"/>
    <w:rsid w:val="006E6B91"/>
    <w:rsid w:val="007477BC"/>
    <w:rsid w:val="00766269"/>
    <w:rsid w:val="007A1AA8"/>
    <w:rsid w:val="007A2A44"/>
    <w:rsid w:val="007C040B"/>
    <w:rsid w:val="007F4F0C"/>
    <w:rsid w:val="00865E9B"/>
    <w:rsid w:val="008665DE"/>
    <w:rsid w:val="008D6DA6"/>
    <w:rsid w:val="008E4A56"/>
    <w:rsid w:val="008E7E9E"/>
    <w:rsid w:val="008F61EF"/>
    <w:rsid w:val="00900C55"/>
    <w:rsid w:val="00921712"/>
    <w:rsid w:val="00946D44"/>
    <w:rsid w:val="009F68AC"/>
    <w:rsid w:val="00A33040"/>
    <w:rsid w:val="00A5240A"/>
    <w:rsid w:val="00A676AD"/>
    <w:rsid w:val="00A719F4"/>
    <w:rsid w:val="00A8400D"/>
    <w:rsid w:val="00A874E1"/>
    <w:rsid w:val="00AD0BEF"/>
    <w:rsid w:val="00B279AF"/>
    <w:rsid w:val="00B348C8"/>
    <w:rsid w:val="00B43F6A"/>
    <w:rsid w:val="00B637CB"/>
    <w:rsid w:val="00B82A67"/>
    <w:rsid w:val="00B9064B"/>
    <w:rsid w:val="00BD3910"/>
    <w:rsid w:val="00C21346"/>
    <w:rsid w:val="00C462E8"/>
    <w:rsid w:val="00C52858"/>
    <w:rsid w:val="00C84677"/>
    <w:rsid w:val="00C93FCE"/>
    <w:rsid w:val="00CB4EBA"/>
    <w:rsid w:val="00CE0782"/>
    <w:rsid w:val="00CE59B2"/>
    <w:rsid w:val="00CF177B"/>
    <w:rsid w:val="00D018E1"/>
    <w:rsid w:val="00D062EE"/>
    <w:rsid w:val="00D14D5B"/>
    <w:rsid w:val="00D43A30"/>
    <w:rsid w:val="00D93525"/>
    <w:rsid w:val="00DA693D"/>
    <w:rsid w:val="00DD50BF"/>
    <w:rsid w:val="00DE6E60"/>
    <w:rsid w:val="00E15424"/>
    <w:rsid w:val="00E33870"/>
    <w:rsid w:val="00E4294E"/>
    <w:rsid w:val="00E535B4"/>
    <w:rsid w:val="00EA0B62"/>
    <w:rsid w:val="00ED5776"/>
    <w:rsid w:val="00EE27EB"/>
    <w:rsid w:val="00F048F0"/>
    <w:rsid w:val="00F449D5"/>
    <w:rsid w:val="00F91EBE"/>
    <w:rsid w:val="00FB5F67"/>
    <w:rsid w:val="00FD50F2"/>
    <w:rsid w:val="235C7C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B746B"/>
  <w15:docId w15:val="{2DFCC8FC-375C-4B13-9636-31DD0FE7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批注框文本 字符"/>
    <w:basedOn w:val="a0"/>
    <w:link w:val="a5"/>
    <w:uiPriority w:val="99"/>
    <w:semiHidden/>
    <w:rPr>
      <w:sz w:val="18"/>
      <w:szCs w:val="18"/>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paragraph" w:styleId="ae">
    <w:name w:val="List Paragraph"/>
    <w:basedOn w:val="a"/>
    <w:uiPriority w:val="34"/>
    <w:qFormat/>
    <w:pPr>
      <w:ind w:firstLineChars="200" w:firstLine="420"/>
    </w:pPr>
    <w:rPr>
      <w:rFonts w:ascii="Calibri" w:eastAsia="宋体" w:hAnsi="Calibri" w:cs="Calibri"/>
      <w:szCs w:val="21"/>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dell3466</dc:creator>
  <cp:lastModifiedBy>珂 怡</cp:lastModifiedBy>
  <cp:revision>10</cp:revision>
  <cp:lastPrinted>2020-04-16T03:17:00Z</cp:lastPrinted>
  <dcterms:created xsi:type="dcterms:W3CDTF">2020-04-13T13:00:00Z</dcterms:created>
  <dcterms:modified xsi:type="dcterms:W3CDTF">2022-10-14T02:08:00Z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