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9A" w:rsidRDefault="006C0985">
      <w:pPr>
        <w:spacing w:line="440" w:lineRule="exact"/>
        <w:jc w:val="center"/>
        <w:rPr>
          <w:rFonts w:ascii="FangSong_GB2312" w:eastAsia="FangSong_GB2312"/>
          <w:b/>
          <w:bCs/>
          <w:sz w:val="28"/>
          <w:szCs w:val="28"/>
        </w:rPr>
      </w:pPr>
      <w:r>
        <w:rPr>
          <w:rFonts w:ascii="FangSong_GB2312" w:eastAsia="FangSong_GB2312" w:hint="eastAsia"/>
          <w:b/>
          <w:bCs/>
          <w:sz w:val="28"/>
          <w:szCs w:val="28"/>
        </w:rPr>
        <w:t>《</w:t>
      </w:r>
      <w:r w:rsidR="00D16591">
        <w:rPr>
          <w:rFonts w:ascii="FangSong_GB2312" w:eastAsia="FangSong_GB2312" w:hint="eastAsia"/>
          <w:b/>
          <w:bCs/>
          <w:sz w:val="28"/>
          <w:szCs w:val="28"/>
        </w:rPr>
        <w:t>外汇交易课程</w:t>
      </w:r>
      <w:r>
        <w:rPr>
          <w:rFonts w:ascii="FangSong_GB2312" w:eastAsia="FangSong_GB2312" w:hint="eastAsia"/>
          <w:b/>
          <w:bCs/>
          <w:sz w:val="28"/>
          <w:szCs w:val="28"/>
        </w:rPr>
        <w:t>》</w:t>
      </w:r>
      <w:r w:rsidR="00AC12B6">
        <w:rPr>
          <w:rFonts w:ascii="FangSong_GB2312" w:eastAsia="FangSong_GB2312" w:hint="eastAsia"/>
          <w:b/>
          <w:bCs/>
          <w:sz w:val="28"/>
          <w:szCs w:val="28"/>
        </w:rPr>
        <w:t>教学案例：</w:t>
      </w:r>
    </w:p>
    <w:p w:rsidR="007A6C17" w:rsidRDefault="00C236F0" w:rsidP="006C0985">
      <w:pPr>
        <w:spacing w:afterLines="150" w:line="440" w:lineRule="exact"/>
        <w:jc w:val="center"/>
        <w:rPr>
          <w:rFonts w:ascii="FangSong_GB2312" w:eastAsia="FangSong_GB2312"/>
          <w:b/>
          <w:bCs/>
          <w:sz w:val="28"/>
          <w:szCs w:val="28"/>
        </w:rPr>
      </w:pPr>
      <w:r w:rsidRPr="00C236F0">
        <w:rPr>
          <w:rFonts w:ascii="FangSong_GB2312" w:eastAsia="FangSong_GB2312" w:hint="eastAsia"/>
          <w:b/>
          <w:bCs/>
          <w:sz w:val="28"/>
          <w:szCs w:val="28"/>
        </w:rPr>
        <w:t>潜心问题导向教学，深耕立德树人</w:t>
      </w:r>
      <w:r w:rsidR="00AC12B6">
        <w:rPr>
          <w:rFonts w:ascii="FangSong_GB2312" w:eastAsia="FangSong_GB2312" w:hint="eastAsia"/>
          <w:b/>
          <w:bCs/>
          <w:sz w:val="28"/>
          <w:szCs w:val="28"/>
        </w:rPr>
        <w:t>教学创新与实践</w:t>
      </w:r>
    </w:p>
    <w:p w:rsidR="00ED5991" w:rsidRPr="007A6C17" w:rsidRDefault="007A6C17" w:rsidP="006C0985">
      <w:pPr>
        <w:spacing w:afterLines="150" w:line="440" w:lineRule="exact"/>
        <w:ind w:firstLineChars="195" w:firstLine="548"/>
        <w:jc w:val="left"/>
        <w:rPr>
          <w:rFonts w:ascii="FangSong_GB2312" w:eastAsia="FangSong_GB2312"/>
          <w:b/>
          <w:bCs/>
          <w:sz w:val="28"/>
          <w:szCs w:val="28"/>
        </w:rPr>
      </w:pPr>
      <w:r>
        <w:rPr>
          <w:rFonts w:ascii="FangSong_GB2312" w:eastAsia="FangSong_GB2312" w:hint="eastAsia"/>
          <w:b/>
          <w:bCs/>
          <w:sz w:val="28"/>
          <w:szCs w:val="28"/>
        </w:rPr>
        <w:t>一、</w:t>
      </w:r>
      <w:r w:rsidR="00ED5991" w:rsidRPr="007A6C17">
        <w:rPr>
          <w:rFonts w:ascii="SimHei" w:eastAsia="SimHei" w:hAnsi="SimHei" w:hint="eastAsia"/>
          <w:bCs/>
          <w:sz w:val="28"/>
          <w:szCs w:val="28"/>
        </w:rPr>
        <w:t>课程概括</w:t>
      </w:r>
    </w:p>
    <w:p w:rsidR="00C502AA" w:rsidRDefault="006C0985" w:rsidP="00C502AA">
      <w:pPr>
        <w:spacing w:line="360" w:lineRule="auto"/>
        <w:ind w:firstLineChars="250" w:firstLine="600"/>
        <w:rPr>
          <w:rFonts w:asciiTheme="minorEastAsia" w:eastAsiaTheme="minorEastAsia" w:hAnsiTheme="minorEastAsia"/>
          <w:sz w:val="24"/>
        </w:rPr>
      </w:pPr>
      <w:r>
        <w:rPr>
          <w:rFonts w:asciiTheme="minorEastAsia" w:eastAsiaTheme="minorEastAsia" w:hAnsiTheme="minorEastAsia" w:hint="eastAsia"/>
          <w:sz w:val="24"/>
        </w:rPr>
        <w:t>《外汇交易课程》</w:t>
      </w:r>
      <w:r w:rsidR="00623977" w:rsidRPr="00C502AA">
        <w:rPr>
          <w:rFonts w:asciiTheme="minorEastAsia" w:eastAsiaTheme="minorEastAsia" w:hAnsiTheme="minorEastAsia" w:hint="eastAsia"/>
          <w:sz w:val="24"/>
        </w:rPr>
        <w:t>是商学院国际金融专业的职业能力核心课程，本课程结合国际金融理论，</w:t>
      </w:r>
      <w:r w:rsidR="00B73973" w:rsidRPr="00C502AA">
        <w:rPr>
          <w:rFonts w:asciiTheme="minorEastAsia" w:eastAsiaTheme="minorEastAsia" w:hAnsiTheme="minorEastAsia" w:hint="eastAsia"/>
          <w:sz w:val="24"/>
        </w:rPr>
        <w:t>结合期货</w:t>
      </w:r>
      <w:r w:rsidR="00623977" w:rsidRPr="00C502AA">
        <w:rPr>
          <w:rFonts w:asciiTheme="minorEastAsia" w:eastAsiaTheme="minorEastAsia" w:hAnsiTheme="minorEastAsia" w:hint="eastAsia"/>
          <w:sz w:val="24"/>
        </w:rPr>
        <w:t>交易原理并运用MT</w:t>
      </w:r>
      <w:r w:rsidR="00623977" w:rsidRPr="00C502AA">
        <w:rPr>
          <w:rFonts w:asciiTheme="minorEastAsia" w:eastAsiaTheme="minorEastAsia" w:hAnsiTheme="minorEastAsia"/>
          <w:sz w:val="24"/>
        </w:rPr>
        <w:t xml:space="preserve">4 </w:t>
      </w:r>
      <w:r w:rsidR="00623977" w:rsidRPr="00C502AA">
        <w:rPr>
          <w:rFonts w:asciiTheme="minorEastAsia" w:eastAsiaTheme="minorEastAsia" w:hAnsiTheme="minorEastAsia" w:hint="eastAsia"/>
          <w:sz w:val="24"/>
        </w:rPr>
        <w:t>或MT</w:t>
      </w:r>
      <w:r w:rsidR="00623977" w:rsidRPr="00C502AA">
        <w:rPr>
          <w:rFonts w:asciiTheme="minorEastAsia" w:eastAsiaTheme="minorEastAsia" w:hAnsiTheme="minorEastAsia"/>
          <w:sz w:val="24"/>
        </w:rPr>
        <w:t>5</w:t>
      </w:r>
      <w:r w:rsidR="00623977" w:rsidRPr="00C502AA">
        <w:rPr>
          <w:rFonts w:asciiTheme="minorEastAsia" w:eastAsiaTheme="minorEastAsia" w:hAnsiTheme="minorEastAsia" w:hint="eastAsia"/>
          <w:sz w:val="24"/>
        </w:rPr>
        <w:t>交易软件达到交易述求。 通过本课程的教学，使学生对外汇、外汇市场、外汇杠杠交易</w:t>
      </w:r>
      <w:r w:rsidR="00623550">
        <w:rPr>
          <w:rFonts w:asciiTheme="minorEastAsia" w:eastAsiaTheme="minorEastAsia" w:hAnsiTheme="minorEastAsia" w:hint="eastAsia"/>
          <w:sz w:val="24"/>
        </w:rPr>
        <w:t>、衍生品市场</w:t>
      </w:r>
      <w:r w:rsidR="00623977" w:rsidRPr="00C502AA">
        <w:rPr>
          <w:rFonts w:asciiTheme="minorEastAsia" w:eastAsiaTheme="minorEastAsia" w:hAnsiTheme="minorEastAsia" w:hint="eastAsia"/>
          <w:sz w:val="24"/>
        </w:rPr>
        <w:t>的知识有比较全面和系统的了解，特别是了解外汇市场的发展历史与现状、外汇交易原理以及外汇保证金业务交易的原理及方法。本课程还将通过理论教学使学生全面地了解外汇投资技术分析流派的发展情况，学习各种投资理论在外汇市场中的运用，并通过实验课程进行实战强化训练。 旨在培养学生关心国际时事新闻的习惯，促进学生应用所学经济学原理与外汇理论知识，使学生能够理解和掌握其交易的实务知识和交易技能，提高外汇投资技巧、风险管理及决策能力，为日后在商业银行及金融公司从事外汇业务岗</w:t>
      </w:r>
      <w:r w:rsidR="00C502AA" w:rsidRPr="00C502AA">
        <w:rPr>
          <w:rFonts w:asciiTheme="minorEastAsia" w:eastAsiaTheme="minorEastAsia" w:hAnsiTheme="minorEastAsia" w:hint="eastAsia"/>
          <w:sz w:val="24"/>
        </w:rPr>
        <w:t>位工作打下坚实的基础。</w:t>
      </w:r>
    </w:p>
    <w:p w:rsidR="00C502AA" w:rsidRPr="00C502AA" w:rsidRDefault="00C502AA" w:rsidP="00C502AA">
      <w:pPr>
        <w:spacing w:line="360" w:lineRule="auto"/>
        <w:ind w:firstLineChars="250" w:firstLine="602"/>
        <w:rPr>
          <w:rFonts w:asciiTheme="minorEastAsia" w:eastAsiaTheme="minorEastAsia" w:hAnsiTheme="minorEastAsia"/>
          <w:b/>
          <w:sz w:val="24"/>
        </w:rPr>
      </w:pPr>
      <w:r w:rsidRPr="00C502AA">
        <w:rPr>
          <w:rFonts w:asciiTheme="minorEastAsia" w:eastAsiaTheme="minorEastAsia" w:hAnsiTheme="minorEastAsia" w:hint="eastAsia"/>
          <w:b/>
          <w:sz w:val="24"/>
        </w:rPr>
        <w:t>二、</w:t>
      </w:r>
      <w:r w:rsidR="00AC12B6" w:rsidRPr="00C502AA">
        <w:rPr>
          <w:rFonts w:asciiTheme="minorEastAsia" w:eastAsiaTheme="minorEastAsia" w:hAnsiTheme="minorEastAsia" w:hint="eastAsia"/>
          <w:b/>
          <w:sz w:val="24"/>
        </w:rPr>
        <w:t>教学目标</w:t>
      </w:r>
    </w:p>
    <w:p w:rsidR="00C502AA" w:rsidRPr="00C502AA" w:rsidRDefault="00C502AA" w:rsidP="00C502AA">
      <w:pPr>
        <w:spacing w:line="360" w:lineRule="auto"/>
        <w:ind w:firstLineChars="250" w:firstLine="602"/>
        <w:rPr>
          <w:rFonts w:asciiTheme="minorEastAsia" w:eastAsiaTheme="minorEastAsia" w:hAnsiTheme="minorEastAsia"/>
          <w:b/>
          <w:sz w:val="24"/>
        </w:rPr>
      </w:pPr>
      <w:r w:rsidRPr="00C502AA">
        <w:rPr>
          <w:rFonts w:asciiTheme="minorEastAsia" w:eastAsiaTheme="minorEastAsia" w:hAnsiTheme="minorEastAsia" w:hint="eastAsia"/>
          <w:b/>
          <w:sz w:val="24"/>
        </w:rPr>
        <w:t>（一）</w:t>
      </w:r>
      <w:r w:rsidR="00ED5991" w:rsidRPr="00C502AA">
        <w:rPr>
          <w:rFonts w:asciiTheme="minorEastAsia" w:eastAsiaTheme="minorEastAsia" w:hAnsiTheme="minorEastAsia" w:hint="eastAsia"/>
          <w:b/>
          <w:sz w:val="24"/>
        </w:rPr>
        <w:t>知识目标</w:t>
      </w:r>
    </w:p>
    <w:p w:rsidR="00CA029A" w:rsidRPr="00C502AA" w:rsidRDefault="00AC12B6" w:rsidP="00C502AA">
      <w:pPr>
        <w:spacing w:line="360" w:lineRule="auto"/>
        <w:ind w:firstLineChars="250" w:firstLine="600"/>
        <w:rPr>
          <w:rFonts w:ascii="SimHei" w:eastAsia="SimHei" w:hAnsi="SimHei"/>
          <w:bCs/>
          <w:sz w:val="28"/>
          <w:szCs w:val="28"/>
        </w:rPr>
      </w:pPr>
      <w:r w:rsidRPr="00C502AA">
        <w:rPr>
          <w:rFonts w:asciiTheme="minorEastAsia" w:eastAsiaTheme="minorEastAsia" w:hAnsiTheme="minorEastAsia" w:hint="eastAsia"/>
          <w:sz w:val="24"/>
        </w:rPr>
        <w:t>保持知识体系与时俱进</w:t>
      </w:r>
      <w:r w:rsidR="00ED5991" w:rsidRPr="00C502AA">
        <w:rPr>
          <w:rFonts w:asciiTheme="minorEastAsia" w:eastAsiaTheme="minorEastAsia" w:hAnsiTheme="minorEastAsia" w:hint="eastAsia"/>
          <w:sz w:val="24"/>
        </w:rPr>
        <w:t xml:space="preserve">。 </w:t>
      </w:r>
      <w:r w:rsidR="00960969" w:rsidRPr="00C502AA">
        <w:rPr>
          <w:rFonts w:asciiTheme="minorEastAsia" w:eastAsiaTheme="minorEastAsia" w:hAnsiTheme="minorEastAsia" w:hint="eastAsia"/>
          <w:sz w:val="24"/>
        </w:rPr>
        <w:t>外汇交易</w:t>
      </w:r>
      <w:r w:rsidRPr="00C502AA">
        <w:rPr>
          <w:rFonts w:asciiTheme="minorEastAsia" w:eastAsiaTheme="minorEastAsia" w:hAnsiTheme="minorEastAsia" w:hint="eastAsia"/>
          <w:sz w:val="24"/>
        </w:rPr>
        <w:t>教学具有跨学科性、实操性、技术性和双语化特征，由于知识体系庞大、国际化形势复杂多变及实务操作日新月异，在理论知识讲授上，注重培养金融创新思维、知识运用技巧；实验实践教学上，强调培养社交沟通艺术和团队合作能力；</w:t>
      </w:r>
      <w:r w:rsidR="00843CC2" w:rsidRPr="00C502AA">
        <w:rPr>
          <w:rFonts w:asciiTheme="minorEastAsia" w:eastAsiaTheme="minorEastAsia" w:hAnsiTheme="minorEastAsia" w:hint="eastAsia"/>
          <w:sz w:val="24"/>
        </w:rPr>
        <w:t xml:space="preserve">课程不仅系统地阐述了外汇交易的基础理论和实战技术，更是在新文科建设框架下，通过金融学理论与量化投资、程序化投资相结合，并最后给出应用案例，案例具有很强的可操作性，努力推动外汇交易课程高质量发展。 </w:t>
      </w:r>
    </w:p>
    <w:p w:rsidR="00ED5991" w:rsidRDefault="006C0985" w:rsidP="00C502AA">
      <w:pPr>
        <w:pStyle w:val="a3"/>
        <w:widowControl/>
        <w:spacing w:beforeAutospacing="0" w:afterAutospacing="0" w:line="360" w:lineRule="auto"/>
        <w:ind w:firstLineChars="245" w:firstLine="590"/>
        <w:rPr>
          <w:b/>
          <w:bCs/>
        </w:rPr>
      </w:pPr>
      <w:r>
        <w:rPr>
          <w:rFonts w:hint="eastAsia"/>
          <w:b/>
          <w:bCs/>
        </w:rPr>
        <w:t>（二</w:t>
      </w:r>
      <w:r w:rsidR="00C502AA">
        <w:rPr>
          <w:rFonts w:hint="eastAsia"/>
          <w:b/>
          <w:bCs/>
        </w:rPr>
        <w:t>）价值目标</w:t>
      </w:r>
    </w:p>
    <w:p w:rsidR="00CA029A" w:rsidRDefault="00590D52" w:rsidP="00590D52">
      <w:pPr>
        <w:pStyle w:val="a3"/>
        <w:widowControl/>
        <w:spacing w:beforeAutospacing="0" w:afterAutospacing="0" w:line="360" w:lineRule="auto"/>
        <w:ind w:firstLineChars="196" w:firstLine="470"/>
        <w:rPr>
          <w:rFonts w:asciiTheme="minorHAnsi" w:eastAsiaTheme="minorEastAsia" w:hAnsiTheme="minorHAnsi" w:cstheme="minorBidi"/>
        </w:rPr>
      </w:pPr>
      <w:r w:rsidRPr="00590D52">
        <w:rPr>
          <w:rFonts w:asciiTheme="minorHAnsi" w:eastAsiaTheme="minorEastAsia" w:hAnsiTheme="minorHAnsi" w:cstheme="minorBidi"/>
        </w:rPr>
        <w:t>以学科发展趋势为主线，积极吸收国内外同类课程的先进思想，利用优质的信息技术和现代教学技术，吸收并了解新的知识和学术发展动态，不断创新教学方法、教学手段和教学内容，充分调动学生学习经济类、金融类课程的积极性，培养学生在开放经济条件下从宏观的角度思考经济金融问题的思维方式，同时注重培养学生的实践能力和创新精神。</w:t>
      </w:r>
      <w:r w:rsidRPr="00590D52">
        <w:rPr>
          <w:rFonts w:asciiTheme="minorHAnsi" w:eastAsiaTheme="minorEastAsia" w:hAnsiTheme="minorHAnsi" w:cstheme="minorBidi"/>
        </w:rPr>
        <w:t xml:space="preserve"> </w:t>
      </w:r>
      <w:r w:rsidR="00AC12B6" w:rsidRPr="00C502AA">
        <w:rPr>
          <w:rFonts w:asciiTheme="minorHAnsi" w:eastAsiaTheme="minorEastAsia" w:hAnsiTheme="minorHAnsi" w:cstheme="minorBidi" w:hint="eastAsia"/>
        </w:rPr>
        <w:t>实现课程思政双向嵌入</w:t>
      </w:r>
      <w:r w:rsidR="00ED5991" w:rsidRPr="00C502AA">
        <w:rPr>
          <w:rFonts w:asciiTheme="minorHAnsi" w:eastAsiaTheme="minorEastAsia" w:hAnsiTheme="minorHAnsi" w:cstheme="minorBidi" w:hint="eastAsia"/>
        </w:rPr>
        <w:t>。</w:t>
      </w:r>
      <w:r w:rsidR="00EC083C" w:rsidRPr="00EC083C">
        <w:rPr>
          <w:rFonts w:asciiTheme="minorHAnsi" w:eastAsiaTheme="minorEastAsia" w:hAnsiTheme="minorHAnsi" w:cstheme="minorBidi" w:hint="eastAsia"/>
        </w:rPr>
        <w:t>始终坚持立德树</w:t>
      </w:r>
      <w:r w:rsidR="00EC083C" w:rsidRPr="00EC083C">
        <w:rPr>
          <w:rFonts w:asciiTheme="minorHAnsi" w:eastAsiaTheme="minorEastAsia" w:hAnsiTheme="minorHAnsi" w:cstheme="minorBidi" w:hint="eastAsia"/>
        </w:rPr>
        <w:lastRenderedPageBreak/>
        <w:t>人根本任务，将思政元素有机融入各章节内容，引导学生树立正确的世界观、人生观和价值观。</w:t>
      </w:r>
    </w:p>
    <w:p w:rsidR="00ED5991" w:rsidRDefault="00ED5991" w:rsidP="007A6C17">
      <w:pPr>
        <w:pStyle w:val="a3"/>
        <w:widowControl/>
        <w:numPr>
          <w:ilvl w:val="0"/>
          <w:numId w:val="21"/>
        </w:numPr>
        <w:spacing w:beforeAutospacing="0" w:afterAutospacing="0" w:line="360" w:lineRule="auto"/>
        <w:rPr>
          <w:rFonts w:asciiTheme="minorHAnsi" w:eastAsiaTheme="minorEastAsia" w:hAnsiTheme="minorHAnsi" w:cstheme="minorBidi"/>
          <w:b/>
        </w:rPr>
      </w:pPr>
      <w:r w:rsidRPr="00ED5991">
        <w:rPr>
          <w:rFonts w:asciiTheme="minorHAnsi" w:eastAsiaTheme="minorEastAsia" w:hAnsiTheme="minorHAnsi" w:cstheme="minorBidi" w:hint="eastAsia"/>
          <w:b/>
        </w:rPr>
        <w:t>思政元素</w:t>
      </w:r>
    </w:p>
    <w:p w:rsidR="00B72C4A" w:rsidRDefault="00B72C4A" w:rsidP="00756ECB">
      <w:pPr>
        <w:pStyle w:val="a3"/>
        <w:widowControl/>
        <w:spacing w:beforeAutospacing="0" w:afterAutospacing="0" w:line="360" w:lineRule="auto"/>
        <w:ind w:firstLineChars="250" w:firstLine="600"/>
        <w:rPr>
          <w:rFonts w:asciiTheme="minorHAnsi" w:eastAsiaTheme="minorEastAsia" w:hAnsiTheme="minorHAnsi" w:cstheme="minorBidi"/>
        </w:rPr>
      </w:pPr>
      <w:r>
        <w:rPr>
          <w:rFonts w:asciiTheme="minorHAnsi" w:eastAsiaTheme="minorEastAsia" w:hAnsiTheme="minorHAnsi" w:cstheme="minorBidi" w:hint="eastAsia"/>
        </w:rPr>
        <w:t>作为理实一体课程，外汇交易课程教学中蕴含丰富的社会人文元素，需密切围绕社会主义核心价值观核心，帮助学生形成正确的金融职业素养和朴素的工匠精神，树立成为优秀的“金融人”目标。</w:t>
      </w:r>
      <w:r w:rsidR="00C502AA">
        <w:rPr>
          <w:rFonts w:asciiTheme="minorHAnsi" w:eastAsiaTheme="minorEastAsia" w:hAnsiTheme="minorHAnsi" w:cstheme="minorBidi" w:hint="eastAsia"/>
        </w:rPr>
        <w:t>课程编排遵循由浅入深、理论联系实际的原则，首先奠定扎实的外汇交易</w:t>
      </w:r>
      <w:r w:rsidRPr="00EC083C">
        <w:rPr>
          <w:rFonts w:asciiTheme="minorHAnsi" w:eastAsiaTheme="minorEastAsia" w:hAnsiTheme="minorHAnsi" w:cstheme="minorBidi" w:hint="eastAsia"/>
        </w:rPr>
        <w:t>理论，然后逐步过渡至复杂智能方法投资外汇。在内容组织上，注重学科交叉融合，培养学生跨学科思维能力和创新能力。</w:t>
      </w:r>
    </w:p>
    <w:p w:rsidR="00C502AA" w:rsidRDefault="00C502AA" w:rsidP="00C502AA">
      <w:pPr>
        <w:spacing w:after="225" w:line="440" w:lineRule="exact"/>
        <w:ind w:leftChars="-202" w:left="-424" w:rightChars="-27" w:right="-57" w:firstLineChars="200" w:firstLine="422"/>
        <w:jc w:val="center"/>
        <w:rPr>
          <w:rFonts w:eastAsia="FangSong_GB2312"/>
          <w:b/>
        </w:rPr>
      </w:pPr>
      <w:r>
        <w:rPr>
          <w:rFonts w:eastAsia="FangSong_GB2312" w:hint="eastAsia"/>
          <w:b/>
        </w:rPr>
        <w:t>表</w:t>
      </w:r>
      <w:r>
        <w:rPr>
          <w:rFonts w:eastAsia="FangSong_GB2312" w:hint="eastAsia"/>
          <w:b/>
        </w:rPr>
        <w:t xml:space="preserve">1 </w:t>
      </w:r>
      <w:r>
        <w:rPr>
          <w:rFonts w:eastAsia="FangSong_GB2312" w:hint="eastAsia"/>
          <w:b/>
        </w:rPr>
        <w:t>课程思政内容与知识点支撑</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10"/>
        <w:gridCol w:w="5694"/>
        <w:gridCol w:w="2318"/>
      </w:tblGrid>
      <w:tr w:rsidR="00C502AA" w:rsidTr="001A7E99">
        <w:tc>
          <w:tcPr>
            <w:tcW w:w="299" w:type="pct"/>
            <w:vAlign w:val="center"/>
          </w:tcPr>
          <w:p w:rsidR="00C502AA" w:rsidRPr="00896E82" w:rsidRDefault="00C502AA" w:rsidP="00896E82">
            <w:pPr>
              <w:spacing w:line="440" w:lineRule="exact"/>
              <w:jc w:val="center"/>
              <w:rPr>
                <w:rFonts w:cs="FangSong_GB2312"/>
                <w:szCs w:val="21"/>
              </w:rPr>
            </w:pPr>
            <w:r w:rsidRPr="00896E82">
              <w:rPr>
                <w:rFonts w:cs="FangSong_GB2312" w:hint="eastAsia"/>
                <w:szCs w:val="21"/>
              </w:rPr>
              <w:t>序号</w:t>
            </w:r>
          </w:p>
        </w:tc>
        <w:tc>
          <w:tcPr>
            <w:tcW w:w="3341" w:type="pct"/>
          </w:tcPr>
          <w:p w:rsidR="00C502AA" w:rsidRPr="00896E82" w:rsidRDefault="00C502AA" w:rsidP="00896E82">
            <w:pPr>
              <w:spacing w:line="440" w:lineRule="exact"/>
              <w:jc w:val="center"/>
              <w:rPr>
                <w:rFonts w:cs="FangSong_GB2312"/>
                <w:szCs w:val="21"/>
              </w:rPr>
            </w:pPr>
            <w:r w:rsidRPr="00896E82">
              <w:rPr>
                <w:rFonts w:cs="FangSong_GB2312" w:hint="eastAsia"/>
                <w:szCs w:val="21"/>
              </w:rPr>
              <w:t>课程思政内容</w:t>
            </w:r>
          </w:p>
        </w:tc>
        <w:tc>
          <w:tcPr>
            <w:tcW w:w="1360" w:type="pct"/>
          </w:tcPr>
          <w:p w:rsidR="00C502AA" w:rsidRPr="00896E82" w:rsidRDefault="00C502AA" w:rsidP="00896E82">
            <w:pPr>
              <w:spacing w:line="440" w:lineRule="exact"/>
              <w:jc w:val="center"/>
              <w:rPr>
                <w:rFonts w:cs="FangSong_GB2312"/>
                <w:szCs w:val="21"/>
              </w:rPr>
            </w:pPr>
            <w:r w:rsidRPr="00896E82">
              <w:rPr>
                <w:rFonts w:cs="FangSong_GB2312" w:hint="eastAsia"/>
                <w:szCs w:val="21"/>
              </w:rPr>
              <w:t>知识点支撑</w:t>
            </w:r>
          </w:p>
        </w:tc>
      </w:tr>
      <w:tr w:rsidR="00C502AA" w:rsidTr="001A7E99">
        <w:tc>
          <w:tcPr>
            <w:tcW w:w="299" w:type="pct"/>
          </w:tcPr>
          <w:p w:rsidR="00C502AA" w:rsidRPr="00896E82" w:rsidRDefault="00C502AA" w:rsidP="00896E82">
            <w:pPr>
              <w:spacing w:line="440" w:lineRule="exact"/>
              <w:jc w:val="center"/>
              <w:rPr>
                <w:rFonts w:cs="FangSong_GB2312"/>
                <w:szCs w:val="21"/>
              </w:rPr>
            </w:pPr>
            <w:r w:rsidRPr="00896E82">
              <w:rPr>
                <w:rFonts w:cs="FangSong_GB2312" w:hint="eastAsia"/>
                <w:szCs w:val="21"/>
              </w:rPr>
              <w:t>1</w:t>
            </w:r>
          </w:p>
        </w:tc>
        <w:tc>
          <w:tcPr>
            <w:tcW w:w="3341" w:type="pct"/>
          </w:tcPr>
          <w:p w:rsidR="00C502AA" w:rsidRPr="00896E82" w:rsidRDefault="00C502AA" w:rsidP="00896E82">
            <w:pPr>
              <w:spacing w:line="440" w:lineRule="exact"/>
              <w:jc w:val="center"/>
              <w:rPr>
                <w:rFonts w:cs="FangSong_GB2312"/>
                <w:szCs w:val="21"/>
              </w:rPr>
            </w:pPr>
            <w:r w:rsidRPr="00896E82">
              <w:rPr>
                <w:rFonts w:cs="FangSong_GB2312"/>
                <w:szCs w:val="21"/>
              </w:rPr>
              <w:t>树立正确的金钱观</w:t>
            </w:r>
            <w:r w:rsidRPr="00896E82">
              <w:rPr>
                <w:rFonts w:cs="FangSong_GB2312" w:hint="eastAsia"/>
                <w:szCs w:val="21"/>
              </w:rPr>
              <w:t>，戒除贪婪、恐惧、无纪律等不正确的价值观，</w:t>
            </w:r>
            <w:r w:rsidRPr="00896E82">
              <w:rPr>
                <w:rFonts w:cs="FangSong_GB2312"/>
                <w:szCs w:val="21"/>
              </w:rPr>
              <w:t>培养</w:t>
            </w:r>
            <w:r w:rsidRPr="00896E82">
              <w:rPr>
                <w:rFonts w:cs="FangSong_GB2312" w:hint="eastAsia"/>
                <w:szCs w:val="21"/>
              </w:rPr>
              <w:t>正确投资交易</w:t>
            </w:r>
            <w:r w:rsidRPr="00896E82">
              <w:rPr>
                <w:rFonts w:cs="FangSong_GB2312"/>
                <w:szCs w:val="21"/>
              </w:rPr>
              <w:t>行为</w:t>
            </w:r>
            <w:r w:rsidRPr="00896E82">
              <w:rPr>
                <w:rFonts w:cs="FangSong_GB2312" w:hint="eastAsia"/>
                <w:szCs w:val="21"/>
              </w:rPr>
              <w:t>。</w:t>
            </w:r>
          </w:p>
        </w:tc>
        <w:tc>
          <w:tcPr>
            <w:tcW w:w="1360" w:type="pct"/>
          </w:tcPr>
          <w:p w:rsidR="00C502AA" w:rsidRPr="00896E82" w:rsidRDefault="00C502AA" w:rsidP="00896E82">
            <w:pPr>
              <w:spacing w:after="225" w:line="440" w:lineRule="exact"/>
              <w:ind w:rightChars="-27" w:right="-57"/>
              <w:jc w:val="center"/>
              <w:rPr>
                <w:rFonts w:cs="FangSong_GB2312"/>
                <w:szCs w:val="21"/>
              </w:rPr>
            </w:pPr>
            <w:r w:rsidRPr="00896E82">
              <w:rPr>
                <w:rFonts w:cs="FangSong_GB2312" w:hint="eastAsia"/>
                <w:szCs w:val="21"/>
              </w:rPr>
              <w:t>订单的正确使用，交易心理与风控制度的建立与执行</w:t>
            </w:r>
            <w:r w:rsidRPr="00896E82">
              <w:rPr>
                <w:rFonts w:cs="FangSong_GB2312" w:hint="eastAsia"/>
                <w:szCs w:val="21"/>
              </w:rPr>
              <w:t>.</w:t>
            </w:r>
            <w:r w:rsidRPr="00896E82">
              <w:rPr>
                <w:rFonts w:cs="FangSong_GB2312" w:hint="eastAsia"/>
                <w:szCs w:val="21"/>
              </w:rPr>
              <w:t>技术分析理论的学习，交易计划的制定与实施。</w:t>
            </w:r>
          </w:p>
        </w:tc>
      </w:tr>
      <w:tr w:rsidR="00C502AA" w:rsidTr="001A7E99">
        <w:tc>
          <w:tcPr>
            <w:tcW w:w="299" w:type="pct"/>
          </w:tcPr>
          <w:p w:rsidR="00C502AA" w:rsidRPr="00896E82" w:rsidRDefault="00C502AA" w:rsidP="00896E82">
            <w:pPr>
              <w:spacing w:line="440" w:lineRule="exact"/>
              <w:jc w:val="center"/>
              <w:rPr>
                <w:rFonts w:cs="FangSong_GB2312"/>
                <w:szCs w:val="21"/>
              </w:rPr>
            </w:pPr>
            <w:r w:rsidRPr="00896E82">
              <w:rPr>
                <w:rFonts w:cs="FangSong_GB2312" w:hint="eastAsia"/>
                <w:szCs w:val="21"/>
              </w:rPr>
              <w:t>2</w:t>
            </w:r>
          </w:p>
        </w:tc>
        <w:tc>
          <w:tcPr>
            <w:tcW w:w="3341" w:type="pct"/>
          </w:tcPr>
          <w:p w:rsidR="00C502AA" w:rsidRPr="00896E82" w:rsidRDefault="00C502AA" w:rsidP="00896E82">
            <w:pPr>
              <w:spacing w:line="440" w:lineRule="exact"/>
              <w:jc w:val="center"/>
              <w:rPr>
                <w:rFonts w:cs="FangSong_GB2312"/>
                <w:szCs w:val="21"/>
              </w:rPr>
            </w:pPr>
            <w:r w:rsidRPr="00896E82">
              <w:rPr>
                <w:rFonts w:cs="FangSong_GB2312" w:hint="eastAsia"/>
                <w:szCs w:val="21"/>
              </w:rPr>
              <w:t>培养学生正确的风险观，建立正确和完善的风险控制制度，通过相关案例分析，促进公司内部的风险控制体系的完善。</w:t>
            </w:r>
          </w:p>
        </w:tc>
        <w:tc>
          <w:tcPr>
            <w:tcW w:w="1360" w:type="pct"/>
          </w:tcPr>
          <w:p w:rsidR="00C502AA" w:rsidRPr="00896E82" w:rsidRDefault="00C502AA" w:rsidP="00896E82">
            <w:pPr>
              <w:spacing w:line="440" w:lineRule="exact"/>
              <w:jc w:val="center"/>
              <w:rPr>
                <w:rFonts w:cs="FangSong_GB2312"/>
                <w:szCs w:val="21"/>
              </w:rPr>
            </w:pPr>
            <w:r w:rsidRPr="00896E82">
              <w:rPr>
                <w:rFonts w:cs="FangSong_GB2312" w:hint="eastAsia"/>
                <w:szCs w:val="21"/>
              </w:rPr>
              <w:t>风险控制制度的建立和完善。</w:t>
            </w:r>
          </w:p>
          <w:p w:rsidR="00C502AA" w:rsidRPr="00896E82" w:rsidRDefault="00C502AA" w:rsidP="00896E82">
            <w:pPr>
              <w:spacing w:line="440" w:lineRule="exact"/>
              <w:jc w:val="center"/>
              <w:rPr>
                <w:rFonts w:cs="FangSong_GB2312"/>
                <w:szCs w:val="21"/>
              </w:rPr>
            </w:pPr>
          </w:p>
        </w:tc>
      </w:tr>
      <w:tr w:rsidR="001A7E99" w:rsidTr="001A7E99">
        <w:tc>
          <w:tcPr>
            <w:tcW w:w="299" w:type="pct"/>
            <w:vAlign w:val="center"/>
          </w:tcPr>
          <w:p w:rsidR="001A7E99" w:rsidRDefault="001A7E99" w:rsidP="00FF07D0">
            <w:pPr>
              <w:spacing w:line="440" w:lineRule="exact"/>
              <w:jc w:val="center"/>
              <w:rPr>
                <w:rFonts w:cs="FangSong_GB2312"/>
                <w:szCs w:val="21"/>
              </w:rPr>
            </w:pPr>
            <w:r>
              <w:rPr>
                <w:rFonts w:cs="FangSong_GB2312" w:hint="eastAsia"/>
                <w:szCs w:val="21"/>
              </w:rPr>
              <w:t>3</w:t>
            </w:r>
          </w:p>
        </w:tc>
        <w:tc>
          <w:tcPr>
            <w:tcW w:w="3341" w:type="pct"/>
            <w:vAlign w:val="center"/>
          </w:tcPr>
          <w:p w:rsidR="001A7E99" w:rsidRDefault="001A7E99" w:rsidP="00FF07D0">
            <w:pPr>
              <w:spacing w:line="440" w:lineRule="exact"/>
              <w:jc w:val="center"/>
              <w:rPr>
                <w:rFonts w:cs="FangSong_GB2312"/>
                <w:szCs w:val="21"/>
              </w:rPr>
            </w:pPr>
            <w:r>
              <w:rPr>
                <w:rFonts w:cs="FangSong_GB2312" w:hint="eastAsia"/>
                <w:szCs w:val="21"/>
              </w:rPr>
              <w:t>引导学生坚持“四个自信”。</w:t>
            </w:r>
          </w:p>
        </w:tc>
        <w:tc>
          <w:tcPr>
            <w:tcW w:w="1360" w:type="pct"/>
            <w:vAlign w:val="center"/>
          </w:tcPr>
          <w:p w:rsidR="001A7E99" w:rsidRDefault="001A7E99" w:rsidP="00FF07D0">
            <w:pPr>
              <w:spacing w:line="440" w:lineRule="exact"/>
              <w:jc w:val="center"/>
              <w:rPr>
                <w:rFonts w:cs="FangSong_GB2312"/>
                <w:szCs w:val="21"/>
              </w:rPr>
            </w:pPr>
            <w:r>
              <w:rPr>
                <w:rFonts w:cs="FangSong_GB2312" w:hint="eastAsia"/>
                <w:szCs w:val="21"/>
              </w:rPr>
              <w:t>国际金融体系</w:t>
            </w:r>
          </w:p>
          <w:p w:rsidR="001A7E99" w:rsidRDefault="001A7E99" w:rsidP="00FF07D0">
            <w:pPr>
              <w:spacing w:line="440" w:lineRule="exact"/>
              <w:jc w:val="center"/>
              <w:rPr>
                <w:rFonts w:cs="FangSong_GB2312"/>
                <w:szCs w:val="21"/>
              </w:rPr>
            </w:pPr>
            <w:r>
              <w:rPr>
                <w:rFonts w:cs="FangSong_GB2312" w:hint="eastAsia"/>
                <w:szCs w:val="21"/>
              </w:rPr>
              <w:t>人民币加入</w:t>
            </w:r>
            <w:r>
              <w:rPr>
                <w:rFonts w:cs="FangSong_GB2312" w:hint="eastAsia"/>
                <w:szCs w:val="21"/>
              </w:rPr>
              <w:t>SDR</w:t>
            </w:r>
          </w:p>
        </w:tc>
      </w:tr>
      <w:tr w:rsidR="001A7E99" w:rsidTr="001A7E99">
        <w:tc>
          <w:tcPr>
            <w:tcW w:w="299" w:type="pct"/>
            <w:vAlign w:val="center"/>
          </w:tcPr>
          <w:p w:rsidR="001A7E99" w:rsidRDefault="001A7E99" w:rsidP="00FF07D0">
            <w:pPr>
              <w:spacing w:line="440" w:lineRule="exact"/>
              <w:jc w:val="center"/>
              <w:rPr>
                <w:rFonts w:cs="FangSong_GB2312"/>
                <w:szCs w:val="21"/>
              </w:rPr>
            </w:pPr>
            <w:r>
              <w:rPr>
                <w:rFonts w:cs="FangSong_GB2312" w:hint="eastAsia"/>
                <w:szCs w:val="21"/>
              </w:rPr>
              <w:t>4</w:t>
            </w:r>
          </w:p>
        </w:tc>
        <w:tc>
          <w:tcPr>
            <w:tcW w:w="3341" w:type="pct"/>
            <w:vAlign w:val="center"/>
          </w:tcPr>
          <w:p w:rsidR="001A7E99" w:rsidRDefault="001A7E99" w:rsidP="00FF07D0">
            <w:pPr>
              <w:spacing w:line="440" w:lineRule="exact"/>
              <w:jc w:val="center"/>
              <w:rPr>
                <w:rFonts w:cs="FangSong_GB2312"/>
                <w:szCs w:val="21"/>
              </w:rPr>
            </w:pPr>
            <w:r>
              <w:rPr>
                <w:rFonts w:cs="FangSong_GB2312" w:hint="eastAsia"/>
                <w:szCs w:val="21"/>
              </w:rPr>
              <w:t>引导学生认识外汇交易员的基本素质和职业素养。</w:t>
            </w:r>
          </w:p>
        </w:tc>
        <w:tc>
          <w:tcPr>
            <w:tcW w:w="1360" w:type="pct"/>
            <w:vAlign w:val="center"/>
          </w:tcPr>
          <w:p w:rsidR="001A7E99" w:rsidRDefault="001A7E99" w:rsidP="00FF07D0">
            <w:pPr>
              <w:spacing w:line="440" w:lineRule="exact"/>
              <w:jc w:val="center"/>
              <w:rPr>
                <w:rFonts w:cs="FangSong_GB2312"/>
                <w:szCs w:val="21"/>
              </w:rPr>
            </w:pPr>
            <w:r>
              <w:rPr>
                <w:rFonts w:cs="FangSong_GB2312" w:hint="eastAsia"/>
                <w:szCs w:val="21"/>
              </w:rPr>
              <w:t>外汇交易与外汇风险</w:t>
            </w:r>
          </w:p>
          <w:p w:rsidR="001A7E99" w:rsidRDefault="001A7E99" w:rsidP="00FF07D0">
            <w:pPr>
              <w:spacing w:line="440" w:lineRule="exact"/>
              <w:jc w:val="center"/>
              <w:rPr>
                <w:rFonts w:cs="FangSong_GB2312"/>
                <w:szCs w:val="21"/>
              </w:rPr>
            </w:pPr>
            <w:r>
              <w:rPr>
                <w:rFonts w:cs="FangSong_GB2312" w:hint="eastAsia"/>
                <w:szCs w:val="21"/>
              </w:rPr>
              <w:t>索罗斯</w:t>
            </w:r>
          </w:p>
        </w:tc>
      </w:tr>
    </w:tbl>
    <w:p w:rsidR="00B72C4A" w:rsidRPr="001050CE" w:rsidRDefault="00B72C4A" w:rsidP="007A6C17">
      <w:pPr>
        <w:pStyle w:val="a3"/>
        <w:widowControl/>
        <w:numPr>
          <w:ilvl w:val="0"/>
          <w:numId w:val="21"/>
        </w:numPr>
        <w:spacing w:beforeAutospacing="0" w:afterAutospacing="0" w:line="360" w:lineRule="auto"/>
        <w:rPr>
          <w:rFonts w:asciiTheme="minorHAnsi" w:eastAsiaTheme="minorEastAsia" w:hAnsiTheme="minorHAnsi" w:cstheme="minorBidi"/>
          <w:b/>
        </w:rPr>
      </w:pPr>
      <w:r w:rsidRPr="001050CE">
        <w:rPr>
          <w:rFonts w:asciiTheme="minorHAnsi" w:eastAsiaTheme="minorEastAsia" w:hAnsiTheme="minorHAnsi" w:cstheme="minorBidi" w:hint="eastAsia"/>
          <w:b/>
        </w:rPr>
        <w:t>设计思路</w:t>
      </w:r>
    </w:p>
    <w:p w:rsidR="00CA029A" w:rsidRDefault="00983645" w:rsidP="00B72C4A">
      <w:pPr>
        <w:pStyle w:val="a3"/>
        <w:widowControl/>
        <w:spacing w:beforeAutospacing="0" w:afterAutospacing="0" w:line="360" w:lineRule="auto"/>
        <w:ind w:leftChars="200" w:left="420" w:firstLineChars="49" w:firstLine="118"/>
      </w:pPr>
      <w:r>
        <w:rPr>
          <w:rFonts w:hint="eastAsia"/>
          <w:b/>
          <w:bCs/>
        </w:rPr>
        <w:t>（一）</w:t>
      </w:r>
      <w:r w:rsidR="00AC12B6">
        <w:rPr>
          <w:rFonts w:hint="eastAsia"/>
          <w:b/>
          <w:bCs/>
        </w:rPr>
        <w:t>整合优质资源，打造多维知识结构</w:t>
      </w:r>
    </w:p>
    <w:p w:rsidR="00CA029A" w:rsidRDefault="00EC083C">
      <w:pPr>
        <w:spacing w:line="300" w:lineRule="auto"/>
        <w:ind w:firstLineChars="200" w:firstLine="480"/>
        <w:rPr>
          <w:rFonts w:ascii="SimSun" w:hAnsi="SimSun" w:cs="SimSun"/>
          <w:color w:val="000000" w:themeColor="text1"/>
          <w:kern w:val="0"/>
          <w:sz w:val="24"/>
        </w:rPr>
      </w:pPr>
      <w:r>
        <w:rPr>
          <w:rFonts w:ascii="SimSun" w:hAnsi="SimSun" w:cs="SimSun" w:hint="eastAsia"/>
          <w:color w:val="000000" w:themeColor="text1"/>
          <w:kern w:val="0"/>
          <w:sz w:val="24"/>
        </w:rPr>
        <w:t>外汇交易课程</w:t>
      </w:r>
      <w:r w:rsidR="00AC12B6">
        <w:rPr>
          <w:rFonts w:ascii="SimSun" w:hAnsi="SimSun" w:cs="SimSun" w:hint="eastAsia"/>
          <w:color w:val="000000" w:themeColor="text1"/>
          <w:kern w:val="0"/>
          <w:sz w:val="24"/>
        </w:rPr>
        <w:t>总体教学设计方案</w:t>
      </w:r>
      <w:r w:rsidR="00AC12B6">
        <w:rPr>
          <w:color w:val="000000" w:themeColor="text1"/>
          <w:kern w:val="0"/>
          <w:sz w:val="24"/>
        </w:rPr>
        <w:t>，</w:t>
      </w:r>
      <w:r w:rsidR="00AC12B6">
        <w:rPr>
          <w:color w:val="000000" w:themeColor="text1"/>
          <w:kern w:val="0"/>
          <w:sz w:val="24"/>
        </w:rPr>
        <w:t>16</w:t>
      </w:r>
      <w:r w:rsidR="00AC12B6">
        <w:rPr>
          <w:rFonts w:ascii="SimSun" w:hAnsi="SimSun" w:cs="SimSun" w:hint="eastAsia"/>
          <w:color w:val="000000" w:themeColor="text1"/>
          <w:kern w:val="0"/>
          <w:sz w:val="24"/>
        </w:rPr>
        <w:t>周的教学安排。课程内容分基础模块、应用模块、实践模块（图1</w:t>
      </w:r>
      <w:r w:rsidR="00C236F0">
        <w:rPr>
          <w:rFonts w:ascii="SimSun" w:hAnsi="SimSun" w:cs="SimSun" w:hint="eastAsia"/>
          <w:color w:val="000000" w:themeColor="text1"/>
          <w:kern w:val="0"/>
          <w:sz w:val="24"/>
        </w:rPr>
        <w:t>），主要采用教师导学、线上学习、</w:t>
      </w:r>
      <w:r w:rsidR="00AC12B6">
        <w:rPr>
          <w:rFonts w:ascii="SimSun" w:hAnsi="SimSun" w:cs="SimSun" w:hint="eastAsia"/>
          <w:color w:val="000000" w:themeColor="text1"/>
          <w:kern w:val="0"/>
          <w:sz w:val="24"/>
        </w:rPr>
        <w:t xml:space="preserve">案例讨论、效果检测五种方式。 </w:t>
      </w:r>
    </w:p>
    <w:p w:rsidR="00CA029A" w:rsidRDefault="00AC12B6">
      <w:pPr>
        <w:spacing w:line="300" w:lineRule="auto"/>
        <w:ind w:firstLineChars="200" w:firstLine="480"/>
        <w:jc w:val="center"/>
        <w:rPr>
          <w:rFonts w:ascii="FangSong_GB2312" w:eastAsia="FangSong_GB2312" w:hAnsi="FangSong_GB2312" w:cs="FangSong_GB2312"/>
          <w:sz w:val="24"/>
        </w:rPr>
      </w:pPr>
      <w:r>
        <w:rPr>
          <w:rFonts w:ascii="FangSong_GB2312" w:eastAsia="FangSong_GB2312" w:hAnsi="FangSong_GB2312" w:cs="FangSong_GB2312" w:hint="eastAsia"/>
          <w:noProof/>
          <w:sz w:val="24"/>
        </w:rPr>
        <w:lastRenderedPageBreak/>
        <w:drawing>
          <wp:inline distT="0" distB="0" distL="114300" distR="114300">
            <wp:extent cx="3258820" cy="1584325"/>
            <wp:effectExtent l="0" t="0" r="5080" b="3175"/>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
                    <pic:cNvPicPr>
                      <a:picLocks noChangeAspect="1"/>
                    </pic:cNvPicPr>
                  </pic:nvPicPr>
                  <pic:blipFill>
                    <a:blip r:embed="rId7"/>
                    <a:srcRect t="25513" r="1359" b="-410"/>
                    <a:stretch>
                      <a:fillRect/>
                    </a:stretch>
                  </pic:blipFill>
                  <pic:spPr>
                    <a:xfrm>
                      <a:off x="0" y="0"/>
                      <a:ext cx="3258820" cy="1584325"/>
                    </a:xfrm>
                    <a:prstGeom prst="rect">
                      <a:avLst/>
                    </a:prstGeom>
                  </pic:spPr>
                </pic:pic>
              </a:graphicData>
            </a:graphic>
          </wp:inline>
        </w:drawing>
      </w:r>
    </w:p>
    <w:p w:rsidR="00CA029A" w:rsidRDefault="00AC12B6">
      <w:pPr>
        <w:spacing w:line="300" w:lineRule="auto"/>
        <w:ind w:firstLineChars="200" w:firstLine="422"/>
        <w:jc w:val="center"/>
        <w:rPr>
          <w:rFonts w:ascii="SimSun" w:hAnsi="SimSun" w:cs="SimSun"/>
          <w:b/>
          <w:bCs/>
          <w:szCs w:val="21"/>
        </w:rPr>
      </w:pPr>
      <w:r>
        <w:rPr>
          <w:rFonts w:ascii="SimSun" w:hAnsi="SimSun" w:cs="SimSun" w:hint="eastAsia"/>
          <w:b/>
          <w:bCs/>
          <w:szCs w:val="21"/>
        </w:rPr>
        <w:t>图1 课程内容</w:t>
      </w:r>
    </w:p>
    <w:p w:rsidR="00CA029A" w:rsidRDefault="00AC12B6">
      <w:pPr>
        <w:spacing w:line="300" w:lineRule="auto"/>
        <w:ind w:firstLineChars="200" w:firstLine="480"/>
        <w:rPr>
          <w:color w:val="000000" w:themeColor="text1"/>
          <w:kern w:val="0"/>
          <w:sz w:val="24"/>
        </w:rPr>
      </w:pPr>
      <w:r>
        <w:rPr>
          <w:color w:val="000000" w:themeColor="text1"/>
          <w:kern w:val="0"/>
          <w:sz w:val="24"/>
        </w:rPr>
        <w:t>线上搭建</w:t>
      </w:r>
      <w:r>
        <w:rPr>
          <w:rFonts w:hint="eastAsia"/>
          <w:color w:val="000000" w:themeColor="text1"/>
          <w:kern w:val="0"/>
          <w:sz w:val="24"/>
        </w:rPr>
        <w:t>“</w:t>
      </w:r>
      <w:r>
        <w:rPr>
          <w:color w:val="000000" w:themeColor="text1"/>
          <w:kern w:val="0"/>
          <w:sz w:val="24"/>
        </w:rPr>
        <w:t>MOOC</w:t>
      </w:r>
      <w:r>
        <w:rPr>
          <w:color w:val="000000" w:themeColor="text1"/>
          <w:kern w:val="0"/>
          <w:sz w:val="24"/>
        </w:rPr>
        <w:t>（</w:t>
      </w:r>
      <w:r>
        <w:rPr>
          <w:color w:val="000000" w:themeColor="text1"/>
          <w:kern w:val="0"/>
          <w:sz w:val="24"/>
        </w:rPr>
        <w:t>SPOC</w:t>
      </w:r>
      <w:r>
        <w:rPr>
          <w:color w:val="000000" w:themeColor="text1"/>
          <w:kern w:val="0"/>
          <w:sz w:val="24"/>
        </w:rPr>
        <w:t>）</w:t>
      </w:r>
      <w:r>
        <w:rPr>
          <w:color w:val="000000" w:themeColor="text1"/>
          <w:kern w:val="0"/>
          <w:sz w:val="24"/>
        </w:rPr>
        <w:t>+</w:t>
      </w:r>
      <w:r>
        <w:rPr>
          <w:color w:val="000000" w:themeColor="text1"/>
          <w:kern w:val="0"/>
          <w:sz w:val="24"/>
        </w:rPr>
        <w:t>钉钉直播</w:t>
      </w:r>
      <w:r>
        <w:rPr>
          <w:rFonts w:hint="eastAsia"/>
          <w:color w:val="000000" w:themeColor="text1"/>
          <w:kern w:val="0"/>
          <w:sz w:val="24"/>
        </w:rPr>
        <w:t>”</w:t>
      </w:r>
      <w:r>
        <w:rPr>
          <w:color w:val="000000" w:themeColor="text1"/>
          <w:kern w:val="0"/>
          <w:sz w:val="24"/>
        </w:rPr>
        <w:t>学习平台，让学生自主学习专业基本知识。选取与本课程教学内容、指定教材存在一定阶梯错层的</w:t>
      </w:r>
      <w:r>
        <w:rPr>
          <w:color w:val="000000" w:themeColor="text1"/>
          <w:kern w:val="0"/>
          <w:sz w:val="24"/>
        </w:rPr>
        <w:t>MOOC</w:t>
      </w:r>
      <w:r>
        <w:rPr>
          <w:color w:val="000000" w:themeColor="text1"/>
          <w:kern w:val="0"/>
          <w:sz w:val="24"/>
        </w:rPr>
        <w:t>资源，实现线上</w:t>
      </w:r>
      <w:r>
        <w:rPr>
          <w:color w:val="000000" w:themeColor="text1"/>
          <w:kern w:val="0"/>
          <w:sz w:val="24"/>
        </w:rPr>
        <w:t>/</w:t>
      </w:r>
      <w:r>
        <w:rPr>
          <w:color w:val="000000" w:themeColor="text1"/>
          <w:kern w:val="0"/>
          <w:sz w:val="24"/>
        </w:rPr>
        <w:t>线下互补性学习。线上学习以</w:t>
      </w:r>
      <w:r>
        <w:rPr>
          <w:color w:val="000000" w:themeColor="text1"/>
          <w:kern w:val="0"/>
          <w:sz w:val="24"/>
        </w:rPr>
        <w:t>MOOC</w:t>
      </w:r>
      <w:r>
        <w:rPr>
          <w:color w:val="000000" w:themeColor="text1"/>
          <w:kern w:val="0"/>
          <w:sz w:val="24"/>
        </w:rPr>
        <w:t>学习为主，为线下课堂教学的重难点学习和实务操作做铺垫。</w:t>
      </w:r>
    </w:p>
    <w:p w:rsidR="00CA029A" w:rsidRDefault="00AC12B6" w:rsidP="00EC083C">
      <w:pPr>
        <w:spacing w:line="300" w:lineRule="auto"/>
        <w:ind w:firstLineChars="200" w:firstLine="480"/>
        <w:rPr>
          <w:color w:val="000000" w:themeColor="text1"/>
          <w:kern w:val="0"/>
          <w:sz w:val="24"/>
        </w:rPr>
      </w:pPr>
      <w:r>
        <w:rPr>
          <w:color w:val="000000" w:themeColor="text1"/>
          <w:kern w:val="0"/>
          <w:sz w:val="24"/>
        </w:rPr>
        <w:t>线下采用</w:t>
      </w:r>
      <w:r>
        <w:rPr>
          <w:rFonts w:hint="eastAsia"/>
          <w:color w:val="000000" w:themeColor="text1"/>
          <w:kern w:val="0"/>
          <w:sz w:val="24"/>
        </w:rPr>
        <w:t>“</w:t>
      </w:r>
      <w:r>
        <w:rPr>
          <w:color w:val="000000" w:themeColor="text1"/>
          <w:kern w:val="0"/>
          <w:sz w:val="24"/>
        </w:rPr>
        <w:t>课堂讲授</w:t>
      </w:r>
      <w:r>
        <w:rPr>
          <w:color w:val="000000" w:themeColor="text1"/>
          <w:kern w:val="0"/>
          <w:sz w:val="24"/>
        </w:rPr>
        <w:t>+</w:t>
      </w:r>
      <w:r>
        <w:rPr>
          <w:color w:val="000000" w:themeColor="text1"/>
          <w:kern w:val="0"/>
          <w:sz w:val="24"/>
        </w:rPr>
        <w:t>案例讨论</w:t>
      </w:r>
      <w:r>
        <w:rPr>
          <w:rFonts w:hint="eastAsia"/>
          <w:color w:val="000000" w:themeColor="text1"/>
          <w:kern w:val="0"/>
          <w:sz w:val="24"/>
        </w:rPr>
        <w:t>”</w:t>
      </w:r>
      <w:r>
        <w:rPr>
          <w:color w:val="000000" w:themeColor="text1"/>
          <w:kern w:val="0"/>
          <w:sz w:val="24"/>
        </w:rPr>
        <w:t>教学，依托微助教平台进行签到、课堂答题和讨论，配合线上知识模块，突出对核心知识脉络的梳理、重点难点讲解和实验实践训练，增加金融创新思想和方法论内容，注重在多个核心知识模块融入思政教学内容。</w:t>
      </w:r>
    </w:p>
    <w:p w:rsidR="00CA029A" w:rsidRDefault="00983645" w:rsidP="00983645">
      <w:pPr>
        <w:pStyle w:val="a3"/>
        <w:widowControl/>
        <w:spacing w:beforeAutospacing="0" w:afterAutospacing="0" w:line="360" w:lineRule="auto"/>
        <w:ind w:leftChars="200" w:left="420" w:firstLineChars="49" w:firstLine="118"/>
      </w:pPr>
      <w:r>
        <w:rPr>
          <w:rFonts w:hint="eastAsia"/>
          <w:b/>
          <w:bCs/>
        </w:rPr>
        <w:t>（二）</w:t>
      </w:r>
      <w:r w:rsidR="00AC12B6">
        <w:rPr>
          <w:rFonts w:hint="eastAsia"/>
          <w:b/>
          <w:bCs/>
        </w:rPr>
        <w:t>融入全阶段教学</w:t>
      </w:r>
      <w:r w:rsidR="00AC12B6">
        <w:rPr>
          <w:b/>
          <w:bCs/>
        </w:rPr>
        <w:t>，</w:t>
      </w:r>
      <w:r w:rsidR="00AC12B6">
        <w:rPr>
          <w:rFonts w:hint="eastAsia"/>
          <w:b/>
          <w:bCs/>
        </w:rPr>
        <w:t>提高能力培养梯度</w:t>
      </w:r>
    </w:p>
    <w:p w:rsidR="00CA029A" w:rsidRDefault="00AC12B6" w:rsidP="00D16591">
      <w:pPr>
        <w:pStyle w:val="a3"/>
        <w:widowControl/>
        <w:spacing w:beforeAutospacing="0" w:afterAutospacing="0" w:line="360" w:lineRule="auto"/>
        <w:ind w:leftChars="200" w:left="420"/>
        <w:rPr>
          <w:rFonts w:eastAsiaTheme="minorEastAsia"/>
        </w:rPr>
      </w:pPr>
      <w:r>
        <w:rPr>
          <w:rFonts w:eastAsiaTheme="minorEastAsia" w:hint="eastAsia"/>
          <w:noProof/>
        </w:rPr>
        <w:drawing>
          <wp:inline distT="0" distB="0" distL="114300" distR="114300">
            <wp:extent cx="5006340" cy="2132965"/>
            <wp:effectExtent l="0" t="0" r="10160" b="635"/>
            <wp:docPr id="6" name="图片 6" descr="全阶段教学(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全阶段教学(1)"/>
                    <pic:cNvPicPr>
                      <a:picLocks noChangeAspect="1"/>
                    </pic:cNvPicPr>
                  </pic:nvPicPr>
                  <pic:blipFill>
                    <a:blip r:embed="rId8"/>
                    <a:srcRect l="8920" r="1808"/>
                    <a:stretch>
                      <a:fillRect/>
                    </a:stretch>
                  </pic:blipFill>
                  <pic:spPr>
                    <a:xfrm>
                      <a:off x="0" y="0"/>
                      <a:ext cx="5006340" cy="2132965"/>
                    </a:xfrm>
                    <a:prstGeom prst="rect">
                      <a:avLst/>
                    </a:prstGeom>
                  </pic:spPr>
                </pic:pic>
              </a:graphicData>
            </a:graphic>
          </wp:inline>
        </w:drawing>
      </w:r>
    </w:p>
    <w:p w:rsidR="00CA029A" w:rsidRDefault="00AC12B6">
      <w:pPr>
        <w:pStyle w:val="a3"/>
        <w:widowControl/>
        <w:spacing w:beforeAutospacing="0" w:afterAutospacing="0" w:line="360" w:lineRule="auto"/>
        <w:jc w:val="center"/>
        <w:rPr>
          <w:rFonts w:eastAsiaTheme="minorEastAsia"/>
          <w:b/>
          <w:bCs/>
          <w:sz w:val="21"/>
          <w:szCs w:val="21"/>
        </w:rPr>
      </w:pPr>
      <w:r>
        <w:rPr>
          <w:rFonts w:hint="eastAsia"/>
          <w:b/>
          <w:bCs/>
          <w:sz w:val="21"/>
          <w:szCs w:val="21"/>
        </w:rPr>
        <w:t>图</w:t>
      </w:r>
      <w:r>
        <w:rPr>
          <w:rFonts w:hint="eastAsia"/>
          <w:b/>
          <w:bCs/>
          <w:sz w:val="21"/>
          <w:szCs w:val="21"/>
        </w:rPr>
        <w:t xml:space="preserve">2 </w:t>
      </w:r>
      <w:r>
        <w:rPr>
          <w:rFonts w:hint="eastAsia"/>
          <w:b/>
          <w:bCs/>
          <w:sz w:val="21"/>
          <w:szCs w:val="21"/>
        </w:rPr>
        <w:t>金融学专业人才培养</w:t>
      </w:r>
    </w:p>
    <w:p w:rsidR="00CA029A" w:rsidRDefault="00983645" w:rsidP="00983645">
      <w:pPr>
        <w:pStyle w:val="a3"/>
        <w:widowControl/>
        <w:spacing w:beforeAutospacing="0" w:afterAutospacing="0" w:line="360" w:lineRule="auto"/>
        <w:ind w:left="420"/>
        <w:rPr>
          <w:b/>
          <w:bCs/>
        </w:rPr>
      </w:pPr>
      <w:r>
        <w:rPr>
          <w:rFonts w:hint="eastAsia"/>
          <w:b/>
          <w:bCs/>
        </w:rPr>
        <w:t>（三）</w:t>
      </w:r>
      <w:r w:rsidR="00AC12B6">
        <w:rPr>
          <w:rFonts w:hint="eastAsia"/>
          <w:b/>
          <w:bCs/>
        </w:rPr>
        <w:t>动态教学模式，实现多资源融汇贯通</w:t>
      </w:r>
    </w:p>
    <w:p w:rsidR="00CA029A" w:rsidRPr="00EC083C" w:rsidRDefault="00AC12B6" w:rsidP="006C0985">
      <w:pPr>
        <w:pStyle w:val="a3"/>
        <w:widowControl/>
        <w:spacing w:beforeLines="50" w:beforeAutospacing="0" w:afterLines="50" w:afterAutospacing="0" w:line="360" w:lineRule="auto"/>
      </w:pPr>
      <w:r>
        <w:t>关注学情分析，根据学生端在课堂和课后反馈，包括学生课堂活跃度、作业质量、线上参与度等，及时优化教学模式。</w:t>
      </w:r>
    </w:p>
    <w:p w:rsidR="00CA029A" w:rsidRDefault="00C236F0" w:rsidP="006C0985">
      <w:pPr>
        <w:pStyle w:val="a3"/>
        <w:widowControl/>
        <w:spacing w:beforeLines="50" w:beforeAutospacing="0" w:afterLines="50" w:afterAutospacing="0" w:line="360" w:lineRule="auto"/>
        <w:ind w:firstLineChars="196" w:firstLine="472"/>
        <w:rPr>
          <w:b/>
          <w:bCs/>
        </w:rPr>
      </w:pPr>
      <w:r>
        <w:rPr>
          <w:rFonts w:hint="eastAsia"/>
          <w:b/>
          <w:bCs/>
        </w:rPr>
        <w:t>（四）</w:t>
      </w:r>
      <w:r w:rsidR="00AC12B6">
        <w:rPr>
          <w:rFonts w:hint="eastAsia"/>
          <w:b/>
          <w:bCs/>
        </w:rPr>
        <w:t>柔性教学设计，</w:t>
      </w:r>
      <w:r w:rsidR="00AC12B6">
        <w:rPr>
          <w:b/>
          <w:bCs/>
        </w:rPr>
        <w:t>激发</w:t>
      </w:r>
      <w:r w:rsidR="00AC12B6">
        <w:rPr>
          <w:rFonts w:hint="eastAsia"/>
          <w:b/>
          <w:bCs/>
        </w:rPr>
        <w:t>学生</w:t>
      </w:r>
      <w:r w:rsidR="00AC12B6">
        <w:rPr>
          <w:b/>
          <w:bCs/>
        </w:rPr>
        <w:t>内驱</w:t>
      </w:r>
      <w:r w:rsidR="00AC12B6">
        <w:rPr>
          <w:rFonts w:hint="eastAsia"/>
          <w:b/>
          <w:bCs/>
        </w:rPr>
        <w:t>动力</w:t>
      </w:r>
    </w:p>
    <w:p w:rsidR="00FC487F" w:rsidRDefault="00AC12B6" w:rsidP="006C0985">
      <w:pPr>
        <w:pStyle w:val="a3"/>
        <w:widowControl/>
        <w:spacing w:beforeLines="50" w:beforeAutospacing="0" w:afterLines="50" w:afterAutospacing="0" w:line="360" w:lineRule="auto"/>
        <w:ind w:firstLineChars="200" w:firstLine="480"/>
      </w:pPr>
      <w:r>
        <w:rPr>
          <w:rFonts w:hint="eastAsia"/>
        </w:rPr>
        <w:lastRenderedPageBreak/>
        <w:t>以学生为中心，既要紧贴人才培养目标，培养高阶能力，又要把握学生特点，因才因人施教，通过巧妙设计教学环节、教学组合，激活学生学习兴趣，盘活优质资源。</w:t>
      </w:r>
    </w:p>
    <w:p w:rsidR="00CA029A" w:rsidRPr="00C236F0" w:rsidRDefault="00FC487F" w:rsidP="006C0985">
      <w:pPr>
        <w:pStyle w:val="a3"/>
        <w:widowControl/>
        <w:spacing w:beforeLines="50" w:beforeAutospacing="0" w:afterLines="50" w:afterAutospacing="0" w:line="360" w:lineRule="auto"/>
        <w:ind w:firstLineChars="200" w:firstLine="482"/>
        <w:rPr>
          <w:rFonts w:asciiTheme="minorEastAsia" w:eastAsiaTheme="minorEastAsia" w:hAnsiTheme="minorEastAsia"/>
          <w:b/>
        </w:rPr>
      </w:pPr>
      <w:r w:rsidRPr="00C236F0">
        <w:rPr>
          <w:rFonts w:asciiTheme="minorEastAsia" w:eastAsiaTheme="minorEastAsia" w:hAnsiTheme="minorEastAsia" w:hint="eastAsia"/>
          <w:b/>
        </w:rPr>
        <w:t xml:space="preserve">五  </w:t>
      </w:r>
      <w:r w:rsidRPr="00C236F0">
        <w:rPr>
          <w:rFonts w:asciiTheme="minorEastAsia" w:eastAsiaTheme="minorEastAsia" w:hAnsiTheme="minorEastAsia" w:cs="SimHei" w:hint="eastAsia"/>
          <w:b/>
          <w:bCs/>
        </w:rPr>
        <w:t>实施案例</w:t>
      </w:r>
    </w:p>
    <w:p w:rsidR="00CA029A" w:rsidRDefault="00D52002">
      <w:pPr>
        <w:spacing w:line="360" w:lineRule="auto"/>
        <w:ind w:firstLineChars="200" w:firstLine="480"/>
        <w:rPr>
          <w:rFonts w:asciiTheme="minorHAnsi" w:eastAsiaTheme="minorEastAsia" w:hAnsiTheme="minorHAnsi" w:cstheme="minorBidi"/>
          <w:kern w:val="0"/>
          <w:sz w:val="24"/>
        </w:rPr>
      </w:pPr>
      <w:r>
        <w:rPr>
          <w:rFonts w:asciiTheme="minorHAnsi" w:eastAsiaTheme="minorEastAsia" w:hAnsiTheme="minorHAnsi" w:cstheme="minorBidi" w:hint="eastAsia"/>
          <w:kern w:val="0"/>
          <w:sz w:val="24"/>
        </w:rPr>
        <w:t>课堂讲授为主，分为导入、讲授、</w:t>
      </w:r>
      <w:r w:rsidR="00AC12B6">
        <w:rPr>
          <w:rFonts w:asciiTheme="minorHAnsi" w:eastAsiaTheme="minorEastAsia" w:hAnsiTheme="minorHAnsi" w:cstheme="minorBidi" w:hint="eastAsia"/>
          <w:kern w:val="0"/>
          <w:sz w:val="24"/>
        </w:rPr>
        <w:t>案例讨论三个环节，</w:t>
      </w:r>
      <w:r w:rsidR="00AC12B6">
        <w:rPr>
          <w:rFonts w:asciiTheme="minorHAnsi" w:eastAsiaTheme="minorEastAsia" w:hAnsiTheme="minorHAnsi" w:cstheme="minorBidi" w:hint="eastAsia"/>
          <w:kern w:val="0"/>
          <w:sz w:val="24"/>
        </w:rPr>
        <w:t>M</w:t>
      </w:r>
      <w:r w:rsidR="00AC12B6">
        <w:rPr>
          <w:rFonts w:eastAsiaTheme="minorEastAsia"/>
          <w:kern w:val="0"/>
          <w:sz w:val="24"/>
        </w:rPr>
        <w:t>ooc</w:t>
      </w:r>
      <w:r w:rsidR="00AC12B6">
        <w:rPr>
          <w:rFonts w:asciiTheme="minorHAnsi" w:eastAsiaTheme="minorEastAsia" w:hAnsiTheme="minorHAnsi" w:cstheme="minorBidi" w:hint="eastAsia"/>
          <w:kern w:val="0"/>
          <w:sz w:val="24"/>
        </w:rPr>
        <w:t>平台学习资源侧重实务操作，提供的案例仿真视频，可以有效增强实务操作的现实体验感。在时间上分为课前、课中、课后三个环节：</w:t>
      </w:r>
    </w:p>
    <w:p w:rsidR="00CA029A" w:rsidRDefault="003971C4" w:rsidP="003971C4">
      <w:pPr>
        <w:spacing w:line="300" w:lineRule="auto"/>
        <w:ind w:left="420"/>
        <w:rPr>
          <w:rFonts w:asciiTheme="minorHAnsi" w:eastAsiaTheme="minorEastAsia" w:hAnsiTheme="minorHAnsi" w:cstheme="minorBidi"/>
          <w:kern w:val="0"/>
          <w:sz w:val="24"/>
        </w:rPr>
      </w:pPr>
      <w:r>
        <w:rPr>
          <w:rFonts w:eastAsia="FangSong_GB2312" w:hint="eastAsia"/>
          <w:b/>
          <w:bCs/>
          <w:sz w:val="24"/>
        </w:rPr>
        <w:t>（一）</w:t>
      </w:r>
      <w:r w:rsidR="00AC12B6">
        <w:rPr>
          <w:rFonts w:eastAsia="FangSong_GB2312" w:hint="eastAsia"/>
          <w:b/>
          <w:bCs/>
          <w:sz w:val="24"/>
        </w:rPr>
        <w:t>课前环节</w:t>
      </w:r>
    </w:p>
    <w:p w:rsidR="00CA029A" w:rsidRPr="00896E82" w:rsidRDefault="00AC12B6" w:rsidP="00896E82">
      <w:pPr>
        <w:spacing w:line="360" w:lineRule="auto"/>
        <w:ind w:firstLineChars="200" w:firstLine="480"/>
      </w:pPr>
      <w:r>
        <w:rPr>
          <w:rFonts w:asciiTheme="minorHAnsi" w:eastAsiaTheme="minorEastAsia" w:hAnsiTheme="minorHAnsi" w:cstheme="minorBidi" w:hint="eastAsia"/>
          <w:kern w:val="0"/>
          <w:sz w:val="24"/>
        </w:rPr>
        <w:t>学习</w:t>
      </w:r>
      <w:r w:rsidRPr="001050CE">
        <w:rPr>
          <w:rFonts w:asciiTheme="minorHAnsi" w:eastAsiaTheme="minorEastAsia" w:hAnsiTheme="minorHAnsi" w:cstheme="minorBidi"/>
          <w:kern w:val="0"/>
          <w:sz w:val="24"/>
        </w:rPr>
        <w:t>Mooc</w:t>
      </w:r>
      <w:r>
        <w:rPr>
          <w:rFonts w:asciiTheme="minorHAnsi" w:eastAsiaTheme="minorEastAsia" w:hAnsiTheme="minorHAnsi" w:cstheme="minorBidi" w:hint="eastAsia"/>
          <w:kern w:val="0"/>
          <w:sz w:val="24"/>
        </w:rPr>
        <w:t>内容</w:t>
      </w:r>
      <w:r w:rsidR="00295871">
        <w:rPr>
          <w:rFonts w:asciiTheme="minorHAnsi" w:eastAsiaTheme="minorEastAsia" w:hAnsiTheme="minorHAnsi" w:cstheme="minorBidi" w:hint="eastAsia"/>
          <w:kern w:val="0"/>
          <w:sz w:val="24"/>
        </w:rPr>
        <w:t xml:space="preserve"> </w:t>
      </w:r>
      <w:r w:rsidR="00295871">
        <w:rPr>
          <w:rFonts w:asciiTheme="minorHAnsi" w:eastAsiaTheme="minorEastAsia" w:hAnsiTheme="minorHAnsi" w:cstheme="minorBidi" w:hint="eastAsia"/>
          <w:kern w:val="0"/>
          <w:sz w:val="24"/>
        </w:rPr>
        <w:t>，</w:t>
      </w:r>
      <w:r w:rsidR="00295871">
        <w:rPr>
          <w:rFonts w:asciiTheme="minorHAnsi" w:eastAsiaTheme="minorEastAsia" w:hAnsiTheme="minorHAnsi" w:cstheme="minorBidi" w:hint="eastAsia"/>
          <w:kern w:val="0"/>
          <w:sz w:val="24"/>
        </w:rPr>
        <w:t xml:space="preserve"> </w:t>
      </w:r>
      <w:r w:rsidR="00295871" w:rsidRPr="001050CE">
        <w:rPr>
          <w:rFonts w:asciiTheme="minorHAnsi" w:eastAsiaTheme="minorEastAsia" w:hAnsiTheme="minorHAnsi" w:cstheme="minorBidi" w:hint="eastAsia"/>
          <w:kern w:val="0"/>
          <w:sz w:val="24"/>
        </w:rPr>
        <w:t>外汇交易的基本框架，基本面分析和技术面分析等。</w:t>
      </w:r>
      <w:r w:rsidR="00295871" w:rsidRPr="001050CE">
        <w:rPr>
          <w:rFonts w:asciiTheme="minorHAnsi" w:eastAsiaTheme="minorEastAsia" w:hAnsiTheme="minorHAnsi" w:cstheme="minorBidi" w:hint="eastAsia"/>
          <w:kern w:val="0"/>
          <w:sz w:val="24"/>
        </w:rPr>
        <w:t xml:space="preserve"> </w:t>
      </w:r>
    </w:p>
    <w:p w:rsidR="00CA029A" w:rsidRDefault="003971C4" w:rsidP="003971C4">
      <w:pPr>
        <w:spacing w:line="300" w:lineRule="auto"/>
        <w:ind w:left="420"/>
        <w:rPr>
          <w:rFonts w:asciiTheme="minorHAnsi" w:eastAsiaTheme="minorEastAsia" w:hAnsiTheme="minorHAnsi" w:cstheme="minorBidi"/>
          <w:b/>
          <w:bCs/>
          <w:kern w:val="0"/>
          <w:sz w:val="24"/>
        </w:rPr>
      </w:pPr>
      <w:r>
        <w:rPr>
          <w:rFonts w:eastAsia="FangSong_GB2312" w:hint="eastAsia"/>
          <w:b/>
          <w:bCs/>
          <w:sz w:val="24"/>
        </w:rPr>
        <w:t>（二）</w:t>
      </w:r>
      <w:r w:rsidR="00AC12B6">
        <w:rPr>
          <w:rFonts w:eastAsia="FangSong_GB2312" w:hint="eastAsia"/>
          <w:b/>
          <w:bCs/>
          <w:sz w:val="24"/>
        </w:rPr>
        <w:t>课中环节</w:t>
      </w:r>
    </w:p>
    <w:p w:rsidR="00CA029A" w:rsidRPr="008C0EA1" w:rsidRDefault="00AC12B6" w:rsidP="008C0EA1">
      <w:pPr>
        <w:widowControl/>
        <w:shd w:val="clear" w:color="auto" w:fill="FFFFFF"/>
        <w:spacing w:before="100" w:beforeAutospacing="1" w:after="100" w:afterAutospacing="1" w:line="360" w:lineRule="atLeast"/>
        <w:ind w:firstLineChars="150" w:firstLine="36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hint="eastAsia"/>
          <w:color w:val="222222"/>
          <w:kern w:val="0"/>
          <w:sz w:val="24"/>
        </w:rPr>
        <w:t>课堂教学中，先回顾上次课内容，主要运用案例引出教学内容：</w:t>
      </w:r>
    </w:p>
    <w:p w:rsidR="00EF3A93" w:rsidRPr="008C0EA1" w:rsidRDefault="00D52002" w:rsidP="008C0EA1">
      <w:pPr>
        <w:widowControl/>
        <w:shd w:val="clear" w:color="auto" w:fill="FFFFFF"/>
        <w:spacing w:before="100" w:beforeAutospacing="1" w:after="100" w:afterAutospacing="1" w:line="360" w:lineRule="atLeast"/>
        <w:ind w:firstLineChars="150" w:firstLine="36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color w:val="222222"/>
          <w:kern w:val="0"/>
          <w:sz w:val="24"/>
        </w:rPr>
        <w:t>案例 1：</w:t>
      </w:r>
      <w:r w:rsidR="00EF3A93" w:rsidRPr="008C0EA1">
        <w:rPr>
          <w:rFonts w:asciiTheme="minorEastAsia" w:eastAsiaTheme="minorEastAsia" w:hAnsiTheme="minorEastAsia" w:cs="Arial"/>
          <w:color w:val="222222"/>
          <w:kern w:val="0"/>
          <w:sz w:val="24"/>
        </w:rPr>
        <w:t>2004年以来我国外汇储备量持续增加，特别是对美国贸易顺差比较大。据国家外汇管理局提供的资料显示，我国国际收支经常项目、资本和金融项目自2001年以来便持续“双顺差”，且顺差规模不断扩大。美国、日本等西方国家对我国施加压力，要求人民币升值。2018年7月6日。美国政府正式对从中国进口的价值340亿美元的商品加征25%的关税，这标志着人类经济史上最大规模“贸易战”的开始。截至2019年5月10日，美国政府已宣布对从中国进口的价值2500亿美元的商品加征25%进口关税。但是2018年美国贸易逆差和经常账户逆差的绝对规模却达到了“次贷”危机爆发以来的最高点。当地时间5月22日，美国贸易代表办公室（USTR）就对华加征301关税发布公告称，对电动汽车及其电池、电脑芯片和医疗产品等一系列中国进口商品大幅加征关税的部分措施将于8月1日生效。当前 中国和美国的汇率制度，还有贸易战能够改善美国贸易逆差和经常账户逆差吗？ </w:t>
      </w:r>
    </w:p>
    <w:p w:rsidR="00D52002" w:rsidRPr="008C0EA1" w:rsidRDefault="00D52002" w:rsidP="008C0EA1">
      <w:pPr>
        <w:widowControl/>
        <w:shd w:val="clear" w:color="auto" w:fill="FFFFFF"/>
        <w:spacing w:before="100" w:beforeAutospacing="1" w:after="100" w:afterAutospacing="1" w:line="360" w:lineRule="atLeast"/>
        <w:ind w:firstLineChars="150" w:firstLine="36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color w:val="222222"/>
          <w:kern w:val="0"/>
          <w:sz w:val="24"/>
        </w:rPr>
        <w:t xml:space="preserve">案例 </w:t>
      </w:r>
      <w:r w:rsidR="00787FD0" w:rsidRPr="008C0EA1">
        <w:rPr>
          <w:rFonts w:asciiTheme="minorEastAsia" w:eastAsiaTheme="minorEastAsia" w:hAnsiTheme="minorEastAsia" w:cs="Arial" w:hint="eastAsia"/>
          <w:color w:val="222222"/>
          <w:kern w:val="0"/>
          <w:sz w:val="24"/>
        </w:rPr>
        <w:t>2</w:t>
      </w:r>
      <w:r w:rsidRPr="008C0EA1">
        <w:rPr>
          <w:rFonts w:asciiTheme="minorEastAsia" w:eastAsiaTheme="minorEastAsia" w:hAnsiTheme="minorEastAsia" w:cs="Arial"/>
          <w:color w:val="222222"/>
          <w:kern w:val="0"/>
          <w:sz w:val="24"/>
        </w:rPr>
        <w:t>：</w:t>
      </w:r>
      <w:r w:rsidR="00647C32" w:rsidRPr="008C0EA1">
        <w:rPr>
          <w:rFonts w:asciiTheme="minorEastAsia" w:eastAsiaTheme="minorEastAsia" w:hAnsiTheme="minorEastAsia" w:cs="Arial" w:hint="eastAsia"/>
          <w:color w:val="222222"/>
          <w:kern w:val="0"/>
          <w:sz w:val="24"/>
        </w:rPr>
        <w:t>中信泰富是在香港联交所上市的老牌公司，为集红、蓝筹于一身的</w:t>
      </w:r>
      <w:r w:rsidR="00647C32" w:rsidRPr="008C0EA1">
        <w:rPr>
          <w:rFonts w:asciiTheme="minorEastAsia" w:eastAsiaTheme="minorEastAsia" w:hAnsiTheme="minorEastAsia" w:cs="Arial"/>
          <w:color w:val="222222"/>
          <w:kern w:val="0"/>
          <w:sz w:val="24"/>
        </w:rPr>
        <w:t>“</w:t>
      </w:r>
      <w:r w:rsidR="00647C32" w:rsidRPr="008C0EA1">
        <w:rPr>
          <w:rFonts w:asciiTheme="minorEastAsia" w:eastAsiaTheme="minorEastAsia" w:hAnsiTheme="minorEastAsia" w:cs="Arial" w:hint="eastAsia"/>
          <w:color w:val="222222"/>
          <w:kern w:val="0"/>
          <w:sz w:val="24"/>
        </w:rPr>
        <w:t>紫筹股</w:t>
      </w:r>
      <w:r w:rsidR="00647C32" w:rsidRPr="008C0EA1">
        <w:rPr>
          <w:rFonts w:asciiTheme="minorEastAsia" w:eastAsiaTheme="minorEastAsia" w:hAnsiTheme="minorEastAsia" w:cs="Arial"/>
          <w:color w:val="222222"/>
          <w:kern w:val="0"/>
          <w:sz w:val="24"/>
        </w:rPr>
        <w:t>”</w:t>
      </w:r>
      <w:r w:rsidR="00647C32" w:rsidRPr="008C0EA1">
        <w:rPr>
          <w:rFonts w:asciiTheme="minorEastAsia" w:eastAsiaTheme="minorEastAsia" w:hAnsiTheme="minorEastAsia" w:cs="Arial" w:hint="eastAsia"/>
          <w:color w:val="222222"/>
          <w:kern w:val="0"/>
          <w:sz w:val="24"/>
        </w:rPr>
        <w:t>，一直受到投资者的追捧。</w:t>
      </w:r>
      <w:r w:rsidR="00647C32" w:rsidRPr="008C0EA1">
        <w:rPr>
          <w:rFonts w:asciiTheme="minorEastAsia" w:eastAsiaTheme="minorEastAsia" w:hAnsiTheme="minorEastAsia" w:cs="Arial"/>
          <w:color w:val="222222"/>
          <w:kern w:val="0"/>
          <w:sz w:val="24"/>
        </w:rPr>
        <w:t>2008</w:t>
      </w:r>
      <w:r w:rsidR="00647C32" w:rsidRPr="008C0EA1">
        <w:rPr>
          <w:rFonts w:asciiTheme="minorEastAsia" w:eastAsiaTheme="minorEastAsia" w:hAnsiTheme="minorEastAsia" w:cs="Arial" w:hint="eastAsia"/>
          <w:color w:val="222222"/>
          <w:kern w:val="0"/>
          <w:sz w:val="24"/>
        </w:rPr>
        <w:t>年</w:t>
      </w:r>
      <w:r w:rsidR="00647C32" w:rsidRPr="008C0EA1">
        <w:rPr>
          <w:rFonts w:asciiTheme="minorEastAsia" w:eastAsiaTheme="minorEastAsia" w:hAnsiTheme="minorEastAsia" w:cs="Arial"/>
          <w:color w:val="222222"/>
          <w:kern w:val="0"/>
          <w:sz w:val="24"/>
        </w:rPr>
        <w:t>10</w:t>
      </w:r>
      <w:r w:rsidR="00647C32" w:rsidRPr="008C0EA1">
        <w:rPr>
          <w:rFonts w:asciiTheme="minorEastAsia" w:eastAsiaTheme="minorEastAsia" w:hAnsiTheme="minorEastAsia" w:cs="Arial" w:hint="eastAsia"/>
          <w:color w:val="222222"/>
          <w:kern w:val="0"/>
          <w:sz w:val="24"/>
        </w:rPr>
        <w:t>月</w:t>
      </w:r>
      <w:r w:rsidR="00647C32" w:rsidRPr="008C0EA1">
        <w:rPr>
          <w:rFonts w:asciiTheme="minorEastAsia" w:eastAsiaTheme="minorEastAsia" w:hAnsiTheme="minorEastAsia" w:cs="Arial"/>
          <w:color w:val="222222"/>
          <w:kern w:val="0"/>
          <w:sz w:val="24"/>
        </w:rPr>
        <w:t>20</w:t>
      </w:r>
      <w:r w:rsidR="00647C32" w:rsidRPr="008C0EA1">
        <w:rPr>
          <w:rFonts w:asciiTheme="minorEastAsia" w:eastAsiaTheme="minorEastAsia" w:hAnsiTheme="minorEastAsia" w:cs="Arial" w:hint="eastAsia"/>
          <w:color w:val="222222"/>
          <w:kern w:val="0"/>
          <w:sz w:val="24"/>
        </w:rPr>
        <w:t>日中信泰富发布公告</w:t>
      </w:r>
      <w:r w:rsidR="00647C32" w:rsidRPr="008C0EA1">
        <w:rPr>
          <w:rFonts w:asciiTheme="minorEastAsia" w:eastAsiaTheme="minorEastAsia" w:hAnsiTheme="minorEastAsia" w:cs="Arial"/>
          <w:color w:val="222222"/>
          <w:kern w:val="0"/>
          <w:sz w:val="24"/>
        </w:rPr>
        <w:t>——</w:t>
      </w:r>
      <w:r w:rsidR="00647C32" w:rsidRPr="008C0EA1">
        <w:rPr>
          <w:rFonts w:asciiTheme="minorEastAsia" w:eastAsiaTheme="minorEastAsia" w:hAnsiTheme="minorEastAsia" w:cs="Arial" w:hint="eastAsia"/>
          <w:color w:val="222222"/>
          <w:kern w:val="0"/>
          <w:sz w:val="24"/>
        </w:rPr>
        <w:t>称由于澳元汇率不断下挫，公司所签订的若干份杠杆式澳元衍生品交易合约，截至</w:t>
      </w:r>
      <w:r w:rsidR="00647C32" w:rsidRPr="008C0EA1">
        <w:rPr>
          <w:rFonts w:asciiTheme="minorEastAsia" w:eastAsiaTheme="minorEastAsia" w:hAnsiTheme="minorEastAsia" w:cs="Arial"/>
          <w:color w:val="222222"/>
          <w:kern w:val="0"/>
          <w:sz w:val="24"/>
        </w:rPr>
        <w:t>2008</w:t>
      </w:r>
      <w:r w:rsidR="00647C32" w:rsidRPr="008C0EA1">
        <w:rPr>
          <w:rFonts w:asciiTheme="minorEastAsia" w:eastAsiaTheme="minorEastAsia" w:hAnsiTheme="minorEastAsia" w:cs="Arial" w:hint="eastAsia"/>
          <w:color w:val="222222"/>
          <w:kern w:val="0"/>
          <w:sz w:val="24"/>
        </w:rPr>
        <w:t>年</w:t>
      </w:r>
      <w:r w:rsidR="00647C32" w:rsidRPr="008C0EA1">
        <w:rPr>
          <w:rFonts w:asciiTheme="minorEastAsia" w:eastAsiaTheme="minorEastAsia" w:hAnsiTheme="minorEastAsia" w:cs="Arial"/>
          <w:color w:val="222222"/>
          <w:kern w:val="0"/>
          <w:sz w:val="24"/>
        </w:rPr>
        <w:t>10</w:t>
      </w:r>
      <w:r w:rsidR="00647C32" w:rsidRPr="008C0EA1">
        <w:rPr>
          <w:rFonts w:asciiTheme="minorEastAsia" w:eastAsiaTheme="minorEastAsia" w:hAnsiTheme="minorEastAsia" w:cs="Arial" w:hint="eastAsia"/>
          <w:color w:val="222222"/>
          <w:kern w:val="0"/>
          <w:sz w:val="24"/>
        </w:rPr>
        <w:t>月</w:t>
      </w:r>
      <w:r w:rsidR="00647C32" w:rsidRPr="008C0EA1">
        <w:rPr>
          <w:rFonts w:asciiTheme="minorEastAsia" w:eastAsiaTheme="minorEastAsia" w:hAnsiTheme="minorEastAsia" w:cs="Arial"/>
          <w:color w:val="222222"/>
          <w:kern w:val="0"/>
          <w:sz w:val="24"/>
        </w:rPr>
        <w:t>17</w:t>
      </w:r>
      <w:r w:rsidR="00647C32" w:rsidRPr="008C0EA1">
        <w:rPr>
          <w:rFonts w:asciiTheme="minorEastAsia" w:eastAsiaTheme="minorEastAsia" w:hAnsiTheme="minorEastAsia" w:cs="Arial" w:hint="eastAsia"/>
          <w:color w:val="222222"/>
          <w:kern w:val="0"/>
          <w:sz w:val="24"/>
        </w:rPr>
        <w:t>日实际已发生亏损与合约未变现部分按公允价值计算亏损的二者合计金额达到</w:t>
      </w:r>
      <w:r w:rsidR="00647C32" w:rsidRPr="008C0EA1">
        <w:rPr>
          <w:rFonts w:asciiTheme="minorEastAsia" w:eastAsiaTheme="minorEastAsia" w:hAnsiTheme="minorEastAsia" w:cs="Arial"/>
          <w:color w:val="222222"/>
          <w:kern w:val="0"/>
          <w:sz w:val="24"/>
        </w:rPr>
        <w:t>155.07</w:t>
      </w:r>
      <w:r w:rsidR="00647C32" w:rsidRPr="008C0EA1">
        <w:rPr>
          <w:rFonts w:asciiTheme="minorEastAsia" w:eastAsiaTheme="minorEastAsia" w:hAnsiTheme="minorEastAsia" w:cs="Arial" w:hint="eastAsia"/>
          <w:color w:val="222222"/>
          <w:kern w:val="0"/>
          <w:sz w:val="24"/>
        </w:rPr>
        <w:t>亿港元。该消息引发市场强烈反应：次日中信泰富股价大跌</w:t>
      </w:r>
      <w:r w:rsidR="00647C32" w:rsidRPr="008C0EA1">
        <w:rPr>
          <w:rFonts w:asciiTheme="minorEastAsia" w:eastAsiaTheme="minorEastAsia" w:hAnsiTheme="minorEastAsia" w:cs="Arial"/>
          <w:color w:val="222222"/>
          <w:kern w:val="0"/>
          <w:sz w:val="24"/>
        </w:rPr>
        <w:t>55.1%</w:t>
      </w:r>
      <w:r w:rsidR="00647C32" w:rsidRPr="008C0EA1">
        <w:rPr>
          <w:rFonts w:asciiTheme="minorEastAsia" w:eastAsiaTheme="minorEastAsia" w:hAnsiTheme="minorEastAsia" w:cs="Arial" w:hint="eastAsia"/>
          <w:color w:val="222222"/>
          <w:kern w:val="0"/>
          <w:sz w:val="24"/>
        </w:rPr>
        <w:t>，市值从</w:t>
      </w:r>
      <w:r w:rsidR="00647C32" w:rsidRPr="008C0EA1">
        <w:rPr>
          <w:rFonts w:asciiTheme="minorEastAsia" w:eastAsiaTheme="minorEastAsia" w:hAnsiTheme="minorEastAsia" w:cs="Arial"/>
          <w:color w:val="222222"/>
          <w:kern w:val="0"/>
          <w:sz w:val="24"/>
        </w:rPr>
        <w:t>318.4</w:t>
      </w:r>
      <w:r w:rsidR="00647C32" w:rsidRPr="008C0EA1">
        <w:rPr>
          <w:rFonts w:asciiTheme="minorEastAsia" w:eastAsiaTheme="minorEastAsia" w:hAnsiTheme="minorEastAsia" w:cs="Arial" w:hint="eastAsia"/>
          <w:color w:val="222222"/>
          <w:kern w:val="0"/>
          <w:sz w:val="24"/>
        </w:rPr>
        <w:t>亿港元暴跌至不足</w:t>
      </w:r>
      <w:r w:rsidR="00647C32" w:rsidRPr="008C0EA1">
        <w:rPr>
          <w:rFonts w:asciiTheme="minorEastAsia" w:eastAsiaTheme="minorEastAsia" w:hAnsiTheme="minorEastAsia" w:cs="Arial"/>
          <w:color w:val="222222"/>
          <w:kern w:val="0"/>
          <w:sz w:val="24"/>
        </w:rPr>
        <w:t>143</w:t>
      </w:r>
      <w:r w:rsidR="00647C32" w:rsidRPr="008C0EA1">
        <w:rPr>
          <w:rFonts w:asciiTheme="minorEastAsia" w:eastAsiaTheme="minorEastAsia" w:hAnsiTheme="minorEastAsia" w:cs="Arial" w:hint="eastAsia"/>
          <w:color w:val="222222"/>
          <w:kern w:val="0"/>
          <w:sz w:val="24"/>
        </w:rPr>
        <w:t>亿港元。对此，母公司中信集团在第一时间即承诺安排</w:t>
      </w:r>
      <w:r w:rsidR="00647C32" w:rsidRPr="008C0EA1">
        <w:rPr>
          <w:rFonts w:asciiTheme="minorEastAsia" w:eastAsiaTheme="minorEastAsia" w:hAnsiTheme="minorEastAsia" w:cs="Arial"/>
          <w:color w:val="222222"/>
          <w:kern w:val="0"/>
          <w:sz w:val="24"/>
        </w:rPr>
        <w:t>15</w:t>
      </w:r>
      <w:r w:rsidR="00647C32" w:rsidRPr="008C0EA1">
        <w:rPr>
          <w:rFonts w:asciiTheme="minorEastAsia" w:eastAsiaTheme="minorEastAsia" w:hAnsiTheme="minorEastAsia" w:cs="Arial" w:hint="eastAsia"/>
          <w:color w:val="222222"/>
          <w:kern w:val="0"/>
          <w:sz w:val="24"/>
        </w:rPr>
        <w:t>亿美元备用信贷以稳定市场信心，并积极协助处理善后。</w:t>
      </w:r>
      <w:r w:rsidR="00647C32" w:rsidRPr="008C0EA1">
        <w:rPr>
          <w:rFonts w:asciiTheme="minorEastAsia" w:eastAsiaTheme="minorEastAsia" w:hAnsiTheme="minorEastAsia" w:cs="Arial"/>
          <w:color w:val="222222"/>
          <w:kern w:val="0"/>
          <w:sz w:val="24"/>
        </w:rPr>
        <w:t>11</w:t>
      </w:r>
      <w:r w:rsidR="00647C32" w:rsidRPr="008C0EA1">
        <w:rPr>
          <w:rFonts w:asciiTheme="minorEastAsia" w:eastAsiaTheme="minorEastAsia" w:hAnsiTheme="minorEastAsia" w:cs="Arial" w:hint="eastAsia"/>
          <w:color w:val="222222"/>
          <w:kern w:val="0"/>
          <w:sz w:val="24"/>
        </w:rPr>
        <w:t>月</w:t>
      </w:r>
      <w:r w:rsidR="00647C32" w:rsidRPr="008C0EA1">
        <w:rPr>
          <w:rFonts w:asciiTheme="minorEastAsia" w:eastAsiaTheme="minorEastAsia" w:hAnsiTheme="minorEastAsia" w:cs="Arial"/>
          <w:color w:val="222222"/>
          <w:kern w:val="0"/>
          <w:sz w:val="24"/>
        </w:rPr>
        <w:t>12</w:t>
      </w:r>
      <w:r w:rsidR="00647C32" w:rsidRPr="008C0EA1">
        <w:rPr>
          <w:rFonts w:asciiTheme="minorEastAsia" w:eastAsiaTheme="minorEastAsia" w:hAnsiTheme="minorEastAsia" w:cs="Arial" w:hint="eastAsia"/>
          <w:color w:val="222222"/>
          <w:kern w:val="0"/>
          <w:sz w:val="24"/>
        </w:rPr>
        <w:t>日停盘多日的中信泰富发布公告，称中信集团已与之初步达成重组协议</w:t>
      </w:r>
      <w:r w:rsidR="00647C32" w:rsidRPr="008C0EA1">
        <w:rPr>
          <w:rFonts w:asciiTheme="minorEastAsia" w:eastAsiaTheme="minorEastAsia" w:hAnsiTheme="minorEastAsia" w:cs="Arial"/>
          <w:color w:val="222222"/>
          <w:kern w:val="0"/>
          <w:sz w:val="24"/>
        </w:rPr>
        <w:t>——</w:t>
      </w:r>
      <w:r w:rsidR="00647C32" w:rsidRPr="008C0EA1">
        <w:rPr>
          <w:rFonts w:asciiTheme="minorEastAsia" w:eastAsiaTheme="minorEastAsia" w:hAnsiTheme="minorEastAsia" w:cs="Arial" w:hint="eastAsia"/>
          <w:color w:val="222222"/>
          <w:kern w:val="0"/>
          <w:sz w:val="24"/>
        </w:rPr>
        <w:t>此时距离中信泰富外汇衍生交易巨亏消息曝光仅仅时隔</w:t>
      </w:r>
      <w:r w:rsidR="00647C32" w:rsidRPr="008C0EA1">
        <w:rPr>
          <w:rFonts w:asciiTheme="minorEastAsia" w:eastAsiaTheme="minorEastAsia" w:hAnsiTheme="minorEastAsia" w:cs="Arial"/>
          <w:color w:val="222222"/>
          <w:kern w:val="0"/>
          <w:sz w:val="24"/>
        </w:rPr>
        <w:t>24</w:t>
      </w:r>
      <w:r w:rsidR="00647C32" w:rsidRPr="008C0EA1">
        <w:rPr>
          <w:rFonts w:asciiTheme="minorEastAsia" w:eastAsiaTheme="minorEastAsia" w:hAnsiTheme="minorEastAsia" w:cs="Arial" w:hint="eastAsia"/>
          <w:color w:val="222222"/>
          <w:kern w:val="0"/>
          <w:sz w:val="24"/>
        </w:rPr>
        <w:t>天。</w:t>
      </w:r>
    </w:p>
    <w:p w:rsidR="00CA029A" w:rsidRPr="008C0EA1" w:rsidRDefault="00AC12B6" w:rsidP="008C0EA1">
      <w:pPr>
        <w:widowControl/>
        <w:shd w:val="clear" w:color="auto" w:fill="FFFFFF"/>
        <w:spacing w:before="100" w:beforeAutospacing="1" w:after="100" w:afterAutospacing="1" w:line="360" w:lineRule="atLeast"/>
        <w:ind w:firstLineChars="150" w:firstLine="36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color w:val="222222"/>
          <w:kern w:val="0"/>
          <w:sz w:val="24"/>
        </w:rPr>
        <w:lastRenderedPageBreak/>
        <w:t>最后，进行教学拓展活动：</w:t>
      </w:r>
    </w:p>
    <w:p w:rsidR="00CA029A" w:rsidRPr="008C0EA1" w:rsidRDefault="00787FD0" w:rsidP="008C0EA1">
      <w:pPr>
        <w:widowControl/>
        <w:shd w:val="clear" w:color="auto" w:fill="FFFFFF"/>
        <w:spacing w:before="100" w:beforeAutospacing="1" w:after="100" w:afterAutospacing="1" w:line="360" w:lineRule="atLeast"/>
        <w:ind w:firstLineChars="150" w:firstLine="36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color w:val="222222"/>
          <w:kern w:val="0"/>
          <w:sz w:val="24"/>
        </w:rPr>
        <w:t>让学生深入讨论课前抛出的</w:t>
      </w:r>
      <w:r w:rsidRPr="008C0EA1">
        <w:rPr>
          <w:rFonts w:asciiTheme="minorEastAsia" w:eastAsiaTheme="minorEastAsia" w:hAnsiTheme="minorEastAsia" w:cs="Arial" w:hint="eastAsia"/>
          <w:color w:val="222222"/>
          <w:kern w:val="0"/>
          <w:sz w:val="24"/>
        </w:rPr>
        <w:t>2</w:t>
      </w:r>
      <w:r w:rsidR="00AC12B6" w:rsidRPr="008C0EA1">
        <w:rPr>
          <w:rFonts w:asciiTheme="minorEastAsia" w:eastAsiaTheme="minorEastAsia" w:hAnsiTheme="minorEastAsia" w:cs="Arial"/>
          <w:color w:val="222222"/>
          <w:kern w:val="0"/>
          <w:sz w:val="24"/>
        </w:rPr>
        <w:t>个案例，分析</w:t>
      </w:r>
      <w:r w:rsidR="00647C32" w:rsidRPr="008C0EA1">
        <w:rPr>
          <w:rFonts w:asciiTheme="minorEastAsia" w:eastAsiaTheme="minorEastAsia" w:hAnsiTheme="minorEastAsia" w:cs="Arial"/>
          <w:color w:val="222222"/>
          <w:kern w:val="0"/>
          <w:sz w:val="24"/>
        </w:rPr>
        <w:t>如何回避</w:t>
      </w:r>
      <w:r w:rsidR="00D52002" w:rsidRPr="008C0EA1">
        <w:rPr>
          <w:rFonts w:asciiTheme="minorEastAsia" w:eastAsiaTheme="minorEastAsia" w:hAnsiTheme="minorEastAsia" w:cs="Arial"/>
          <w:color w:val="222222"/>
          <w:kern w:val="0"/>
          <w:sz w:val="24"/>
        </w:rPr>
        <w:t>风险</w:t>
      </w:r>
      <w:r w:rsidR="00647C32" w:rsidRPr="008C0EA1">
        <w:rPr>
          <w:rFonts w:asciiTheme="minorEastAsia" w:eastAsiaTheme="minorEastAsia" w:hAnsiTheme="minorEastAsia" w:cs="Arial"/>
          <w:color w:val="222222"/>
          <w:kern w:val="0"/>
          <w:sz w:val="24"/>
        </w:rPr>
        <w:t>，如何自律，</w:t>
      </w:r>
      <w:r w:rsidR="00647C32" w:rsidRPr="008C0EA1">
        <w:rPr>
          <w:rFonts w:asciiTheme="minorEastAsia" w:eastAsiaTheme="minorEastAsia" w:hAnsiTheme="minorEastAsia" w:cs="Arial" w:hint="eastAsia"/>
          <w:color w:val="222222"/>
          <w:kern w:val="0"/>
          <w:sz w:val="24"/>
        </w:rPr>
        <w:t xml:space="preserve"> 尊重市场规律</w:t>
      </w:r>
      <w:r w:rsidR="00AC12B6" w:rsidRPr="008C0EA1">
        <w:rPr>
          <w:rFonts w:asciiTheme="minorEastAsia" w:eastAsiaTheme="minorEastAsia" w:hAnsiTheme="minorEastAsia" w:cs="Arial"/>
          <w:color w:val="222222"/>
          <w:kern w:val="0"/>
          <w:sz w:val="24"/>
        </w:rPr>
        <w:t>。</w:t>
      </w:r>
      <w:r w:rsidRPr="008C0EA1">
        <w:rPr>
          <w:rFonts w:asciiTheme="minorEastAsia" w:eastAsiaTheme="minorEastAsia" w:hAnsiTheme="minorEastAsia" w:cs="Arial" w:hint="eastAsia"/>
          <w:color w:val="222222"/>
          <w:kern w:val="0"/>
          <w:sz w:val="24"/>
        </w:rPr>
        <w:t>通过案例1，中国经济不但没有被压垮，反而步入高质量发展新阶段。反观美国，对华采取的贸易霸凌和各种封锁打压，非但没能让其如愿实现制造业回流或减少贸易赤字，还导致美国丢掉了重要海外市场，失去了信誉，遭遇了通胀难题和成本更高的供应链体系。 通过案例说明贸易战并不能改善美国的贸易赤字， 只能通过互惠互利， 才能达到共赢， 另外培养了学生的爱国情操， 增强了自信。</w:t>
      </w:r>
      <w:r w:rsidRPr="008C0EA1">
        <w:rPr>
          <w:rFonts w:asciiTheme="minorEastAsia" w:eastAsiaTheme="minorEastAsia" w:hAnsiTheme="minorEastAsia" w:cs="Arial"/>
          <w:color w:val="222222"/>
          <w:kern w:val="0"/>
          <w:sz w:val="24"/>
        </w:rPr>
        <w:t>通过案例</w:t>
      </w:r>
      <w:r w:rsidRPr="008C0EA1">
        <w:rPr>
          <w:rFonts w:asciiTheme="minorEastAsia" w:eastAsiaTheme="minorEastAsia" w:hAnsiTheme="minorEastAsia" w:cs="Arial" w:hint="eastAsia"/>
          <w:color w:val="222222"/>
          <w:kern w:val="0"/>
          <w:sz w:val="24"/>
        </w:rPr>
        <w:t xml:space="preserve">2，金融衍生品，有人称它为华尔街制造的魔鬼，它不但制造了美国的次贷危机并直接引发了金融危机，也让不熟悉海外金融市场的中国企业无法自拔。培养学生关注国外衍生品市场的风险性，国外衍生品市场的复杂性，学会规避风险。中国必须拥有自己的衍生品市场并在国际竞争中掌握衍生品的定价权， 提高了学生的自信， 并对社会主义市场经济和中国特色的金融体系建设充满信心。 </w:t>
      </w:r>
    </w:p>
    <w:p w:rsidR="00CA029A" w:rsidRPr="008C0EA1" w:rsidRDefault="00AC12B6" w:rsidP="008C0EA1">
      <w:pPr>
        <w:widowControl/>
        <w:shd w:val="clear" w:color="auto" w:fill="FFFFFF"/>
        <w:spacing w:before="100" w:beforeAutospacing="1" w:after="100" w:afterAutospacing="1" w:line="360" w:lineRule="atLeast"/>
        <w:ind w:firstLineChars="150" w:firstLine="36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color w:val="222222"/>
          <w:kern w:val="0"/>
          <w:sz w:val="24"/>
        </w:rPr>
        <w:t>开启微助教答题环节，通过必答题、抢答掌握学生上课成效，并通过这一环节来强化教学的重点与难点内容，如测评信用证阅读能力，有奖测评信用证翻译。</w:t>
      </w:r>
    </w:p>
    <w:p w:rsidR="00CA029A" w:rsidRPr="008C0EA1" w:rsidRDefault="00CA029A">
      <w:pPr>
        <w:tabs>
          <w:tab w:val="left" w:pos="6400"/>
        </w:tabs>
        <w:spacing w:line="360" w:lineRule="auto"/>
        <w:jc w:val="center"/>
        <w:rPr>
          <w:rFonts w:asciiTheme="minorEastAsia" w:eastAsiaTheme="minorEastAsia" w:hAnsiTheme="minorEastAsia"/>
          <w:sz w:val="24"/>
        </w:rPr>
      </w:pPr>
    </w:p>
    <w:p w:rsidR="00CA029A" w:rsidRPr="008C0EA1" w:rsidRDefault="00AC12B6" w:rsidP="008C0EA1">
      <w:pPr>
        <w:tabs>
          <w:tab w:val="left" w:pos="6400"/>
        </w:tabs>
        <w:spacing w:line="360" w:lineRule="auto"/>
        <w:ind w:firstLineChars="200" w:firstLine="480"/>
        <w:jc w:val="center"/>
        <w:rPr>
          <w:rFonts w:asciiTheme="minorEastAsia" w:eastAsiaTheme="minorEastAsia" w:hAnsiTheme="minorEastAsia" w:cs="楷体"/>
          <w:b/>
          <w:bCs/>
          <w:color w:val="000000" w:themeColor="text1"/>
          <w:sz w:val="24"/>
        </w:rPr>
      </w:pPr>
      <w:r w:rsidRPr="008C0EA1">
        <w:rPr>
          <w:rFonts w:asciiTheme="minorEastAsia" w:eastAsiaTheme="minorEastAsia" w:hAnsiTheme="minorEastAsia"/>
          <w:noProof/>
          <w:sz w:val="24"/>
        </w:rPr>
        <w:drawing>
          <wp:inline distT="0" distB="0" distL="114300" distR="114300">
            <wp:extent cx="3118485" cy="1649095"/>
            <wp:effectExtent l="0" t="0" r="0" b="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9" cstate="print"/>
                    <a:srcRect l="16795" t="23604" r="23993" b="17453"/>
                    <a:stretch>
                      <a:fillRect/>
                    </a:stretch>
                  </pic:blipFill>
                  <pic:spPr>
                    <a:xfrm>
                      <a:off x="0" y="0"/>
                      <a:ext cx="3118485" cy="1649095"/>
                    </a:xfrm>
                    <a:prstGeom prst="rect">
                      <a:avLst/>
                    </a:prstGeom>
                    <a:noFill/>
                    <a:ln>
                      <a:noFill/>
                    </a:ln>
                  </pic:spPr>
                </pic:pic>
              </a:graphicData>
            </a:graphic>
          </wp:inline>
        </w:drawing>
      </w:r>
    </w:p>
    <w:p w:rsidR="00CA029A" w:rsidRPr="008C0EA1" w:rsidRDefault="00AC12B6" w:rsidP="008C0EA1">
      <w:pPr>
        <w:tabs>
          <w:tab w:val="left" w:pos="6400"/>
        </w:tabs>
        <w:spacing w:line="360" w:lineRule="auto"/>
        <w:ind w:firstLineChars="200" w:firstLine="482"/>
        <w:jc w:val="center"/>
        <w:rPr>
          <w:rFonts w:asciiTheme="minorEastAsia" w:eastAsiaTheme="minorEastAsia" w:hAnsiTheme="minorEastAsia"/>
          <w:b/>
          <w:bCs/>
          <w:color w:val="000000" w:themeColor="text1"/>
          <w:sz w:val="24"/>
        </w:rPr>
      </w:pPr>
      <w:r w:rsidRPr="008C0EA1">
        <w:rPr>
          <w:rFonts w:asciiTheme="minorEastAsia" w:eastAsiaTheme="minorEastAsia" w:hAnsiTheme="minorEastAsia"/>
          <w:b/>
          <w:bCs/>
          <w:color w:val="000000" w:themeColor="text1"/>
          <w:sz w:val="24"/>
        </w:rPr>
        <w:t>图</w:t>
      </w:r>
      <w:r w:rsidR="00295871" w:rsidRPr="008C0EA1">
        <w:rPr>
          <w:rFonts w:asciiTheme="minorEastAsia" w:eastAsiaTheme="minorEastAsia" w:hAnsiTheme="minorEastAsia" w:hint="eastAsia"/>
          <w:b/>
          <w:bCs/>
          <w:color w:val="000000" w:themeColor="text1"/>
          <w:sz w:val="24"/>
        </w:rPr>
        <w:t>3</w:t>
      </w:r>
      <w:r w:rsidRPr="008C0EA1">
        <w:rPr>
          <w:rFonts w:asciiTheme="minorEastAsia" w:eastAsiaTheme="minorEastAsia" w:hAnsiTheme="minorEastAsia"/>
          <w:b/>
          <w:bCs/>
          <w:color w:val="000000" w:themeColor="text1"/>
          <w:sz w:val="24"/>
        </w:rPr>
        <w:t xml:space="preserve"> 微助教课堂界面</w:t>
      </w:r>
    </w:p>
    <w:p w:rsidR="00CA029A" w:rsidRPr="008C0EA1" w:rsidRDefault="003971C4" w:rsidP="001A3845">
      <w:pPr>
        <w:spacing w:line="300" w:lineRule="auto"/>
        <w:ind w:firstLineChars="250" w:firstLine="602"/>
        <w:rPr>
          <w:rFonts w:asciiTheme="minorEastAsia" w:eastAsiaTheme="minorEastAsia" w:hAnsiTheme="minorEastAsia"/>
          <w:b/>
          <w:bCs/>
          <w:sz w:val="24"/>
        </w:rPr>
      </w:pPr>
      <w:r w:rsidRPr="008C0EA1">
        <w:rPr>
          <w:rFonts w:asciiTheme="minorEastAsia" w:eastAsiaTheme="minorEastAsia" w:hAnsiTheme="minorEastAsia" w:hint="eastAsia"/>
          <w:b/>
          <w:bCs/>
          <w:sz w:val="24"/>
        </w:rPr>
        <w:t>（三）</w:t>
      </w:r>
      <w:r w:rsidR="00AC12B6" w:rsidRPr="008C0EA1">
        <w:rPr>
          <w:rFonts w:asciiTheme="minorEastAsia" w:eastAsiaTheme="minorEastAsia" w:hAnsiTheme="minorEastAsia" w:hint="eastAsia"/>
          <w:b/>
          <w:bCs/>
          <w:sz w:val="24"/>
        </w:rPr>
        <w:t>课后环节</w:t>
      </w:r>
    </w:p>
    <w:p w:rsidR="00CA029A" w:rsidRPr="008C0EA1" w:rsidRDefault="00AC12B6" w:rsidP="008C0EA1">
      <w:pPr>
        <w:widowControl/>
        <w:shd w:val="clear" w:color="auto" w:fill="FFFFFF"/>
        <w:spacing w:before="100" w:beforeAutospacing="1" w:after="100" w:afterAutospacing="1" w:line="360" w:lineRule="atLeast"/>
        <w:ind w:firstLineChars="150" w:firstLine="36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color w:val="222222"/>
          <w:kern w:val="0"/>
          <w:sz w:val="24"/>
        </w:rPr>
        <w:t>完成Mooc同步测验，提交</w:t>
      </w:r>
      <w:r w:rsidRPr="008C0EA1">
        <w:rPr>
          <w:rFonts w:asciiTheme="minorEastAsia" w:eastAsiaTheme="minorEastAsia" w:hAnsiTheme="minorEastAsia" w:cs="Arial" w:hint="eastAsia"/>
          <w:color w:val="222222"/>
          <w:kern w:val="0"/>
          <w:sz w:val="24"/>
        </w:rPr>
        <w:t>习题册、</w:t>
      </w:r>
      <w:r w:rsidRPr="008C0EA1">
        <w:rPr>
          <w:rFonts w:asciiTheme="minorEastAsia" w:eastAsiaTheme="minorEastAsia" w:hAnsiTheme="minorEastAsia" w:cs="Arial"/>
          <w:color w:val="222222"/>
          <w:kern w:val="0"/>
          <w:sz w:val="24"/>
        </w:rPr>
        <w:t>实验作业，通过</w:t>
      </w:r>
      <w:r w:rsidRPr="008C0EA1">
        <w:rPr>
          <w:rFonts w:asciiTheme="minorEastAsia" w:eastAsiaTheme="minorEastAsia" w:hAnsiTheme="minorEastAsia" w:cs="Arial" w:hint="eastAsia"/>
          <w:color w:val="222222"/>
          <w:kern w:val="0"/>
          <w:sz w:val="24"/>
        </w:rPr>
        <w:t>“线下习题课+</w:t>
      </w:r>
      <w:r w:rsidRPr="008C0EA1">
        <w:rPr>
          <w:rFonts w:asciiTheme="minorEastAsia" w:eastAsiaTheme="minorEastAsia" w:hAnsiTheme="minorEastAsia" w:cs="Arial"/>
          <w:color w:val="222222"/>
          <w:kern w:val="0"/>
          <w:sz w:val="24"/>
        </w:rPr>
        <w:t>钉钉课堂直播</w:t>
      </w:r>
      <w:r w:rsidRPr="008C0EA1">
        <w:rPr>
          <w:rFonts w:asciiTheme="minorEastAsia" w:eastAsiaTheme="minorEastAsia" w:hAnsiTheme="minorEastAsia" w:cs="Arial" w:hint="eastAsia"/>
          <w:color w:val="222222"/>
          <w:kern w:val="0"/>
          <w:sz w:val="24"/>
        </w:rPr>
        <w:t>”</w:t>
      </w:r>
      <w:r w:rsidRPr="008C0EA1">
        <w:rPr>
          <w:rFonts w:asciiTheme="minorEastAsia" w:eastAsiaTheme="minorEastAsia" w:hAnsiTheme="minorEastAsia" w:cs="Arial"/>
          <w:color w:val="222222"/>
          <w:kern w:val="0"/>
          <w:sz w:val="24"/>
        </w:rPr>
        <w:t>实现作业答疑、案例讨论与实验演示，进一步掌握学生学习效果。</w:t>
      </w:r>
    </w:p>
    <w:p w:rsidR="00FC487F" w:rsidRPr="008C0EA1" w:rsidRDefault="00FC487F" w:rsidP="001A3845">
      <w:pPr>
        <w:pStyle w:val="1"/>
        <w:numPr>
          <w:ilvl w:val="0"/>
          <w:numId w:val="17"/>
        </w:numPr>
        <w:spacing w:before="120" w:after="120" w:line="360" w:lineRule="auto"/>
        <w:rPr>
          <w:rFonts w:asciiTheme="minorEastAsia" w:eastAsiaTheme="minorEastAsia" w:hAnsiTheme="minorEastAsia" w:cs="SimHei"/>
          <w:b w:val="0"/>
          <w:bCs/>
          <w:sz w:val="24"/>
        </w:rPr>
      </w:pPr>
      <w:r w:rsidRPr="008C0EA1">
        <w:rPr>
          <w:rFonts w:asciiTheme="minorEastAsia" w:eastAsiaTheme="minorEastAsia" w:hAnsiTheme="minorEastAsia" w:cs="SimHei" w:hint="eastAsia"/>
          <w:b w:val="0"/>
          <w:bCs/>
          <w:sz w:val="24"/>
        </w:rPr>
        <w:t>特色及创新</w:t>
      </w:r>
    </w:p>
    <w:p w:rsidR="00FC487F" w:rsidRPr="008C0EA1" w:rsidRDefault="00FC487F" w:rsidP="008C0EA1">
      <w:pPr>
        <w:spacing w:line="360" w:lineRule="auto"/>
        <w:ind w:firstLineChars="147" w:firstLine="354"/>
        <w:rPr>
          <w:rFonts w:asciiTheme="minorEastAsia" w:eastAsiaTheme="minorEastAsia" w:hAnsiTheme="minorEastAsia" w:cs="SimSun"/>
          <w:b/>
          <w:bCs/>
          <w:sz w:val="24"/>
        </w:rPr>
      </w:pPr>
      <w:r w:rsidRPr="008C0EA1">
        <w:rPr>
          <w:rFonts w:asciiTheme="minorEastAsia" w:eastAsiaTheme="minorEastAsia" w:hAnsiTheme="minorEastAsia" w:cs="Arial" w:hint="eastAsia"/>
          <w:b/>
          <w:bCs/>
          <w:color w:val="222222"/>
          <w:sz w:val="24"/>
        </w:rPr>
        <w:t>（一）</w:t>
      </w:r>
      <w:r w:rsidRPr="008C0EA1">
        <w:rPr>
          <w:rFonts w:asciiTheme="minorEastAsia" w:eastAsiaTheme="minorEastAsia" w:hAnsiTheme="minorEastAsia" w:cs="Arial"/>
          <w:b/>
          <w:bCs/>
          <w:color w:val="222222"/>
          <w:sz w:val="24"/>
        </w:rPr>
        <w:t>追踪国际热点，融合思政教育</w:t>
      </w:r>
    </w:p>
    <w:p w:rsidR="00FC487F" w:rsidRPr="008C0EA1" w:rsidRDefault="00FC487F" w:rsidP="008C0EA1">
      <w:pPr>
        <w:widowControl/>
        <w:shd w:val="clear" w:color="auto" w:fill="FFFFFF"/>
        <w:spacing w:before="100" w:beforeAutospacing="1" w:after="100" w:afterAutospacing="1" w:line="360" w:lineRule="atLeast"/>
        <w:ind w:firstLineChars="150" w:firstLine="36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color w:val="222222"/>
          <w:kern w:val="0"/>
          <w:sz w:val="24"/>
        </w:rPr>
        <w:t>针对外汇交易课程时效性这一特点，引入国际时事问题，引导学生结合我国国情展开讨论，提高学生分析问题、自主思考的能力。在此基础上，外汇交易课</w:t>
      </w:r>
      <w:r w:rsidRPr="008C0EA1">
        <w:rPr>
          <w:rFonts w:asciiTheme="minorEastAsia" w:eastAsiaTheme="minorEastAsia" w:hAnsiTheme="minorEastAsia" w:cs="Arial"/>
          <w:color w:val="222222"/>
          <w:kern w:val="0"/>
          <w:sz w:val="24"/>
        </w:rPr>
        <w:lastRenderedPageBreak/>
        <w:t>程教学还应结合该课程的知识体系和学科特色，充分挖掘思政元素，将其与理论知识深度融合，重新设计教学内容，促进学生提升个人思想境界、养成奋斗精神和创新精神，实现知识学习和思想塑造的完美融合。</w:t>
      </w:r>
    </w:p>
    <w:p w:rsidR="00FC487F" w:rsidRPr="008C0EA1" w:rsidRDefault="00FC487F" w:rsidP="00FC487F">
      <w:pPr>
        <w:pStyle w:val="a8"/>
        <w:widowControl/>
        <w:shd w:val="clear" w:color="auto" w:fill="FFFFFF"/>
        <w:spacing w:before="100" w:beforeAutospacing="1" w:after="100" w:afterAutospacing="1" w:line="360" w:lineRule="atLeast"/>
        <w:ind w:left="420" w:firstLineChars="0" w:firstLine="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hint="eastAsia"/>
          <w:b/>
          <w:bCs/>
          <w:color w:val="222222"/>
          <w:kern w:val="0"/>
          <w:sz w:val="24"/>
        </w:rPr>
        <w:t>（二）</w:t>
      </w:r>
      <w:r w:rsidRPr="008C0EA1">
        <w:rPr>
          <w:rFonts w:asciiTheme="minorEastAsia" w:eastAsiaTheme="minorEastAsia" w:hAnsiTheme="minorEastAsia" w:cs="Arial"/>
          <w:b/>
          <w:bCs/>
          <w:color w:val="222222"/>
          <w:kern w:val="0"/>
          <w:sz w:val="24"/>
        </w:rPr>
        <w:t>注重实践教学，丰富教学内容</w:t>
      </w:r>
    </w:p>
    <w:p w:rsidR="00FC487F" w:rsidRPr="008C0EA1" w:rsidRDefault="00FC487F" w:rsidP="008C0EA1">
      <w:pPr>
        <w:widowControl/>
        <w:shd w:val="clear" w:color="auto" w:fill="FFFFFF"/>
        <w:spacing w:before="100" w:beforeAutospacing="1" w:after="100" w:afterAutospacing="1" w:line="360" w:lineRule="atLeast"/>
        <w:ind w:firstLineChars="250" w:firstLine="60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color w:val="222222"/>
          <w:kern w:val="0"/>
          <w:sz w:val="24"/>
        </w:rPr>
        <w:t>培养专业能力过硬的国际外汇交易人才，必须注重实践能力和创新能力，提高学生对外汇交易的领悟能力，加强对实务知识的掌握程度。这要求积极利用现代化技术和手段加强实践教学，增加实践教学课时量、丰富教学内容，高仿真模拟金融市场和外汇交易，向学生实时展示财经资讯、金融热点讯息，通过采用真实的外汇和股市行情数据，指导学生模拟投资与交易，加深学生对外汇交易流程的熟悉度和理解度。</w:t>
      </w:r>
    </w:p>
    <w:p w:rsidR="00FC487F" w:rsidRPr="008C0EA1" w:rsidRDefault="00FC487F" w:rsidP="00FC487F">
      <w:pPr>
        <w:pStyle w:val="a8"/>
        <w:widowControl/>
        <w:shd w:val="clear" w:color="auto" w:fill="FFFFFF"/>
        <w:spacing w:before="100" w:beforeAutospacing="1" w:after="100" w:afterAutospacing="1" w:line="360" w:lineRule="atLeast"/>
        <w:ind w:left="420" w:firstLineChars="0" w:firstLine="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hint="eastAsia"/>
          <w:b/>
          <w:bCs/>
          <w:color w:val="222222"/>
          <w:kern w:val="0"/>
          <w:sz w:val="24"/>
        </w:rPr>
        <w:t>（三）</w:t>
      </w:r>
      <w:r w:rsidRPr="008C0EA1">
        <w:rPr>
          <w:rFonts w:asciiTheme="minorEastAsia" w:eastAsiaTheme="minorEastAsia" w:hAnsiTheme="minorEastAsia" w:cs="Arial"/>
          <w:b/>
          <w:bCs/>
          <w:color w:val="222222"/>
          <w:kern w:val="0"/>
          <w:sz w:val="24"/>
        </w:rPr>
        <w:t>创新教学方法，多方法融合教学</w:t>
      </w:r>
    </w:p>
    <w:p w:rsidR="00FC487F" w:rsidRPr="008C0EA1" w:rsidRDefault="00FC487F" w:rsidP="008C0EA1">
      <w:pPr>
        <w:widowControl/>
        <w:shd w:val="clear" w:color="auto" w:fill="FFFFFF"/>
        <w:spacing w:before="100" w:beforeAutospacing="1" w:after="100" w:afterAutospacing="1" w:line="360" w:lineRule="atLeast"/>
        <w:ind w:firstLineChars="200" w:firstLine="480"/>
        <w:jc w:val="left"/>
        <w:rPr>
          <w:rFonts w:asciiTheme="minorEastAsia" w:eastAsiaTheme="minorEastAsia" w:hAnsiTheme="minorEastAsia" w:cs="Arial"/>
          <w:color w:val="222222"/>
          <w:kern w:val="0"/>
          <w:sz w:val="24"/>
        </w:rPr>
      </w:pPr>
      <w:r w:rsidRPr="008C0EA1">
        <w:rPr>
          <w:rFonts w:asciiTheme="minorEastAsia" w:eastAsiaTheme="minorEastAsia" w:hAnsiTheme="minorEastAsia" w:cs="Arial"/>
          <w:color w:val="222222"/>
          <w:kern w:val="0"/>
          <w:sz w:val="24"/>
        </w:rPr>
        <w:t>推进应用型本科特色教学发展之路，需要融合多种教学方法，改变传统的“填鸭式”教学方法。 时政案例教学法是一种极具时效性的教学方法，通过引入新兴热门的外汇案例不仅可以激发学生的学习兴趣，还能提高学生的参与度，进而提高学生对知识点和案例的理解程度。如在教学影响汇率波动因素时，分析经济预期、股市走势、政治因素对汇率的影响效果，可以选取 2020 年上半年美国股市熔断案例进行讲授，将美国经济变动情况与汇率波动结合起来，以培养学生的综合分析能力</w:t>
      </w:r>
    </w:p>
    <w:p w:rsidR="00CA029A" w:rsidRDefault="00AC12B6" w:rsidP="001A3845">
      <w:pPr>
        <w:pStyle w:val="1"/>
        <w:numPr>
          <w:ilvl w:val="0"/>
          <w:numId w:val="17"/>
        </w:numPr>
        <w:spacing w:before="120" w:after="120" w:line="360" w:lineRule="auto"/>
        <w:rPr>
          <w:rFonts w:ascii="SimHei" w:eastAsia="SimHei" w:hAnsi="SimHei" w:cs="SimHei"/>
          <w:b w:val="0"/>
          <w:bCs/>
          <w:sz w:val="28"/>
          <w:szCs w:val="28"/>
        </w:rPr>
      </w:pPr>
      <w:r>
        <w:rPr>
          <w:rFonts w:ascii="SimHei" w:eastAsia="SimHei" w:hAnsi="SimHei" w:cs="SimHei" w:hint="eastAsia"/>
          <w:b w:val="0"/>
          <w:bCs/>
          <w:sz w:val="28"/>
          <w:szCs w:val="28"/>
        </w:rPr>
        <w:t>教学效果</w:t>
      </w:r>
    </w:p>
    <w:p w:rsidR="002810EC" w:rsidRDefault="002810EC" w:rsidP="002810EC">
      <w:pPr>
        <w:pStyle w:val="a3"/>
        <w:widowControl/>
        <w:shd w:val="clear" w:color="auto" w:fill="FFFFFF"/>
        <w:spacing w:beforeAutospacing="0" w:afterAutospacing="0" w:line="360" w:lineRule="auto"/>
        <w:ind w:firstLineChars="200" w:firstLine="480"/>
        <w:jc w:val="both"/>
      </w:pPr>
      <w:r>
        <w:rPr>
          <w:noProof/>
        </w:rPr>
        <w:drawing>
          <wp:inline distT="0" distB="0" distL="0" distR="0">
            <wp:extent cx="5274310" cy="2963554"/>
            <wp:effectExtent l="19050" t="0" r="2540" b="0"/>
            <wp:docPr id="1" name="图片 1" descr="C:\Users\sunwe\Documents\WeChat Files\wxid_xas3tnnn6vyn22\FileStorage\Temp\fbc7dfb7e512c1aaecd73516f658e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we\Documents\WeChat Files\wxid_xas3tnnn6vyn22\FileStorage\Temp\fbc7dfb7e512c1aaecd73516f658eea.jpg"/>
                    <pic:cNvPicPr>
                      <a:picLocks noChangeAspect="1" noChangeArrowheads="1"/>
                    </pic:cNvPicPr>
                  </pic:nvPicPr>
                  <pic:blipFill>
                    <a:blip r:embed="rId10" cstate="print"/>
                    <a:srcRect/>
                    <a:stretch>
                      <a:fillRect/>
                    </a:stretch>
                  </pic:blipFill>
                  <pic:spPr bwMode="auto">
                    <a:xfrm>
                      <a:off x="0" y="0"/>
                      <a:ext cx="5274310" cy="2963554"/>
                    </a:xfrm>
                    <a:prstGeom prst="rect">
                      <a:avLst/>
                    </a:prstGeom>
                    <a:noFill/>
                    <a:ln w="9525">
                      <a:noFill/>
                      <a:miter lim="800000"/>
                      <a:headEnd/>
                      <a:tailEnd/>
                    </a:ln>
                  </pic:spPr>
                </pic:pic>
              </a:graphicData>
            </a:graphic>
          </wp:inline>
        </w:drawing>
      </w:r>
    </w:p>
    <w:p w:rsidR="00CA029A" w:rsidRPr="00305EAD" w:rsidRDefault="00CA029A">
      <w:pPr>
        <w:pStyle w:val="a3"/>
        <w:widowControl/>
        <w:shd w:val="clear" w:color="auto" w:fill="FFFFFF"/>
        <w:spacing w:beforeAutospacing="0" w:afterAutospacing="0"/>
        <w:jc w:val="center"/>
        <w:rPr>
          <w:rFonts w:ascii="Microsoft YaHei" w:eastAsia="Microsoft YaHei" w:hAnsi="Microsoft YaHei" w:cs="Microsoft YaHei"/>
          <w:color w:val="676767"/>
          <w:sz w:val="14"/>
          <w:szCs w:val="14"/>
        </w:rPr>
      </w:pPr>
    </w:p>
    <w:p w:rsidR="00FD380B" w:rsidRDefault="00FD380B" w:rsidP="00FD380B">
      <w:pPr>
        <w:tabs>
          <w:tab w:val="left" w:pos="6400"/>
        </w:tabs>
        <w:spacing w:line="360" w:lineRule="auto"/>
        <w:ind w:firstLineChars="200" w:firstLine="480"/>
        <w:rPr>
          <w:kern w:val="0"/>
          <w:sz w:val="24"/>
        </w:rPr>
      </w:pPr>
      <w:r>
        <w:rPr>
          <w:kern w:val="0"/>
          <w:sz w:val="24"/>
        </w:rPr>
        <w:lastRenderedPageBreak/>
        <w:t>根据线上学习数据统计显示，约</w:t>
      </w:r>
      <w:r>
        <w:rPr>
          <w:kern w:val="0"/>
          <w:sz w:val="24"/>
        </w:rPr>
        <w:t>92%</w:t>
      </w:r>
      <w:r>
        <w:rPr>
          <w:kern w:val="0"/>
          <w:sz w:val="24"/>
        </w:rPr>
        <w:t>的学生完成</w:t>
      </w:r>
      <w:r>
        <w:rPr>
          <w:kern w:val="0"/>
          <w:sz w:val="24"/>
        </w:rPr>
        <w:t>Mooc</w:t>
      </w:r>
      <w:r>
        <w:rPr>
          <w:kern w:val="0"/>
          <w:sz w:val="24"/>
        </w:rPr>
        <w:t>学习，约</w:t>
      </w:r>
      <w:r>
        <w:rPr>
          <w:kern w:val="0"/>
          <w:sz w:val="24"/>
        </w:rPr>
        <w:t>90%</w:t>
      </w:r>
      <w:r>
        <w:rPr>
          <w:kern w:val="0"/>
          <w:sz w:val="24"/>
        </w:rPr>
        <w:t>的学生基本完成</w:t>
      </w:r>
      <w:r>
        <w:rPr>
          <w:kern w:val="0"/>
          <w:sz w:val="24"/>
        </w:rPr>
        <w:t>Moodle</w:t>
      </w:r>
      <w:r>
        <w:rPr>
          <w:kern w:val="0"/>
          <w:sz w:val="24"/>
        </w:rPr>
        <w:t>学习，参与钉钉直播的学生接近</w:t>
      </w:r>
      <w:r>
        <w:rPr>
          <w:kern w:val="0"/>
          <w:sz w:val="24"/>
        </w:rPr>
        <w:t>90%</w:t>
      </w:r>
      <w:r>
        <w:rPr>
          <w:kern w:val="0"/>
          <w:sz w:val="24"/>
        </w:rPr>
        <w:t>。</w:t>
      </w:r>
    </w:p>
    <w:p w:rsidR="00FD380B" w:rsidRDefault="00FD380B" w:rsidP="00FD380B">
      <w:pPr>
        <w:pStyle w:val="a3"/>
        <w:widowControl/>
        <w:shd w:val="clear" w:color="auto" w:fill="FFFFFF"/>
        <w:spacing w:beforeAutospacing="0" w:afterAutospacing="0" w:line="360" w:lineRule="auto"/>
        <w:ind w:firstLineChars="200" w:firstLine="480"/>
        <w:jc w:val="both"/>
      </w:pPr>
      <w:r>
        <w:rPr>
          <w:rFonts w:hint="eastAsia"/>
        </w:rPr>
        <w:t>根据课程进展情况，超过</w:t>
      </w:r>
      <w:r>
        <w:rPr>
          <w:rFonts w:hint="eastAsia"/>
        </w:rPr>
        <w:t>95%</w:t>
      </w:r>
      <w:r>
        <w:rPr>
          <w:rFonts w:hint="eastAsia"/>
        </w:rPr>
        <w:t>的学生能够完成</w:t>
      </w:r>
      <w:r>
        <w:rPr>
          <w:rFonts w:hint="eastAsia"/>
        </w:rPr>
        <w:t>Mooc</w:t>
      </w:r>
      <w:r>
        <w:rPr>
          <w:rFonts w:hint="eastAsia"/>
        </w:rPr>
        <w:t>学习任务，按时提交习题册作业。与单纯线下授课相比，混合式教学方式显著拓展了学习边界，与线下教学构成良性协同。</w:t>
      </w:r>
    </w:p>
    <w:p w:rsidR="00CA029A" w:rsidRPr="00FD380B" w:rsidRDefault="00CA029A"/>
    <w:sectPr w:rsidR="00CA029A" w:rsidRPr="00FD380B" w:rsidSect="00CA02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F5E" w:rsidRDefault="00DC6F5E" w:rsidP="00D16591">
      <w:r>
        <w:separator/>
      </w:r>
    </w:p>
  </w:endnote>
  <w:endnote w:type="continuationSeparator" w:id="1">
    <w:p w:rsidR="00DC6F5E" w:rsidRDefault="00DC6F5E" w:rsidP="00D165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altName w:val="Arial Unicode MS"/>
    <w:charset w:val="86"/>
    <w:family w:val="modern"/>
    <w:pitch w:val="default"/>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F5E" w:rsidRDefault="00DC6F5E" w:rsidP="00D16591">
      <w:r>
        <w:separator/>
      </w:r>
    </w:p>
  </w:footnote>
  <w:footnote w:type="continuationSeparator" w:id="1">
    <w:p w:rsidR="00DC6F5E" w:rsidRDefault="00DC6F5E" w:rsidP="00D16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A54936"/>
    <w:multiLevelType w:val="singleLevel"/>
    <w:tmpl w:val="B0A54936"/>
    <w:lvl w:ilvl="0">
      <w:start w:val="1"/>
      <w:numFmt w:val="bullet"/>
      <w:lvlText w:val=""/>
      <w:lvlJc w:val="left"/>
      <w:pPr>
        <w:ind w:left="420" w:hanging="420"/>
      </w:pPr>
      <w:rPr>
        <w:rFonts w:ascii="Wingdings" w:hAnsi="Wingdings" w:hint="default"/>
      </w:rPr>
    </w:lvl>
  </w:abstractNum>
  <w:abstractNum w:abstractNumId="1">
    <w:nsid w:val="CEA5D6E8"/>
    <w:multiLevelType w:val="singleLevel"/>
    <w:tmpl w:val="CEA5D6E8"/>
    <w:lvl w:ilvl="0">
      <w:start w:val="1"/>
      <w:numFmt w:val="bullet"/>
      <w:lvlText w:val=""/>
      <w:lvlJc w:val="left"/>
      <w:pPr>
        <w:ind w:left="420" w:hanging="420"/>
      </w:pPr>
      <w:rPr>
        <w:rFonts w:ascii="Wingdings" w:hAnsi="Wingdings" w:hint="default"/>
      </w:rPr>
    </w:lvl>
  </w:abstractNum>
  <w:abstractNum w:abstractNumId="2">
    <w:nsid w:val="E20BC431"/>
    <w:multiLevelType w:val="singleLevel"/>
    <w:tmpl w:val="E20BC431"/>
    <w:lvl w:ilvl="0">
      <w:start w:val="1"/>
      <w:numFmt w:val="bullet"/>
      <w:lvlText w:val=""/>
      <w:lvlJc w:val="left"/>
      <w:pPr>
        <w:ind w:left="420" w:hanging="420"/>
      </w:pPr>
      <w:rPr>
        <w:rFonts w:ascii="Wingdings" w:hAnsi="Wingdings" w:hint="default"/>
      </w:rPr>
    </w:lvl>
  </w:abstractNum>
  <w:abstractNum w:abstractNumId="3">
    <w:nsid w:val="F412720D"/>
    <w:multiLevelType w:val="singleLevel"/>
    <w:tmpl w:val="F412720D"/>
    <w:lvl w:ilvl="0">
      <w:start w:val="1"/>
      <w:numFmt w:val="bullet"/>
      <w:lvlText w:val=""/>
      <w:lvlJc w:val="left"/>
      <w:pPr>
        <w:ind w:left="420" w:hanging="420"/>
      </w:pPr>
      <w:rPr>
        <w:rFonts w:ascii="Wingdings" w:hAnsi="Wingdings" w:hint="default"/>
      </w:rPr>
    </w:lvl>
  </w:abstractNum>
  <w:abstractNum w:abstractNumId="4">
    <w:nsid w:val="FACA5EBA"/>
    <w:multiLevelType w:val="singleLevel"/>
    <w:tmpl w:val="FACA5EBA"/>
    <w:lvl w:ilvl="0">
      <w:start w:val="1"/>
      <w:numFmt w:val="decimal"/>
      <w:suff w:val="nothing"/>
      <w:lvlText w:val="（%1）"/>
      <w:lvlJc w:val="left"/>
    </w:lvl>
  </w:abstractNum>
  <w:abstractNum w:abstractNumId="5">
    <w:nsid w:val="1B62ECD6"/>
    <w:multiLevelType w:val="singleLevel"/>
    <w:tmpl w:val="1B62ECD6"/>
    <w:lvl w:ilvl="0">
      <w:start w:val="1"/>
      <w:numFmt w:val="bullet"/>
      <w:lvlText w:val=""/>
      <w:lvlJc w:val="left"/>
      <w:pPr>
        <w:ind w:left="420" w:hanging="420"/>
      </w:pPr>
      <w:rPr>
        <w:rFonts w:ascii="Wingdings" w:hAnsi="Wingdings" w:hint="default"/>
      </w:rPr>
    </w:lvl>
  </w:abstractNum>
  <w:abstractNum w:abstractNumId="6">
    <w:nsid w:val="1C8E7F5B"/>
    <w:multiLevelType w:val="singleLevel"/>
    <w:tmpl w:val="1C8E7F5B"/>
    <w:lvl w:ilvl="0">
      <w:start w:val="1"/>
      <w:numFmt w:val="bullet"/>
      <w:lvlText w:val=""/>
      <w:lvlJc w:val="left"/>
      <w:pPr>
        <w:ind w:left="420" w:hanging="420"/>
      </w:pPr>
      <w:rPr>
        <w:rFonts w:ascii="Wingdings" w:hAnsi="Wingdings" w:hint="default"/>
      </w:rPr>
    </w:lvl>
  </w:abstractNum>
  <w:abstractNum w:abstractNumId="7">
    <w:nsid w:val="25E57BB1"/>
    <w:multiLevelType w:val="hybridMultilevel"/>
    <w:tmpl w:val="4134DC12"/>
    <w:lvl w:ilvl="0" w:tplc="C670644C">
      <w:start w:val="1"/>
      <w:numFmt w:val="japaneseCounting"/>
      <w:lvlText w:val="（%1）"/>
      <w:lvlJc w:val="left"/>
      <w:pPr>
        <w:ind w:left="72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8">
    <w:nsid w:val="27907C56"/>
    <w:multiLevelType w:val="hybridMultilevel"/>
    <w:tmpl w:val="F60A8388"/>
    <w:lvl w:ilvl="0" w:tplc="4B1CDB3A">
      <w:start w:val="1"/>
      <w:numFmt w:val="japaneseCounting"/>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9">
    <w:nsid w:val="27DE4C80"/>
    <w:multiLevelType w:val="singleLevel"/>
    <w:tmpl w:val="27DE4C80"/>
    <w:lvl w:ilvl="0">
      <w:start w:val="1"/>
      <w:numFmt w:val="bullet"/>
      <w:lvlText w:val=""/>
      <w:lvlJc w:val="left"/>
      <w:pPr>
        <w:ind w:left="420" w:hanging="420"/>
      </w:pPr>
      <w:rPr>
        <w:rFonts w:ascii="Wingdings" w:hAnsi="Wingdings" w:hint="default"/>
      </w:rPr>
    </w:lvl>
  </w:abstractNum>
  <w:abstractNum w:abstractNumId="10">
    <w:nsid w:val="3474A407"/>
    <w:multiLevelType w:val="singleLevel"/>
    <w:tmpl w:val="3474A407"/>
    <w:lvl w:ilvl="0">
      <w:start w:val="1"/>
      <w:numFmt w:val="chineseCounting"/>
      <w:suff w:val="nothing"/>
      <w:lvlText w:val="%1、"/>
      <w:lvlJc w:val="left"/>
      <w:rPr>
        <w:rFonts w:ascii="SimHei" w:eastAsia="SimHei" w:hAnsi="SimHei" w:cs="SimHei" w:hint="eastAsia"/>
      </w:rPr>
    </w:lvl>
  </w:abstractNum>
  <w:abstractNum w:abstractNumId="11">
    <w:nsid w:val="3CE27D18"/>
    <w:multiLevelType w:val="hybridMultilevel"/>
    <w:tmpl w:val="06ECCE0C"/>
    <w:lvl w:ilvl="0" w:tplc="63B44FBA">
      <w:start w:val="3"/>
      <w:numFmt w:val="japaneseCounting"/>
      <w:lvlText w:val="%1、"/>
      <w:lvlJc w:val="left"/>
      <w:pPr>
        <w:ind w:left="1089" w:hanging="504"/>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2">
    <w:nsid w:val="432A64DA"/>
    <w:multiLevelType w:val="hybridMultilevel"/>
    <w:tmpl w:val="6472E3FA"/>
    <w:lvl w:ilvl="0" w:tplc="E0F8184C">
      <w:start w:val="1"/>
      <w:numFmt w:val="japaneseCounting"/>
      <w:lvlText w:val="%1、"/>
      <w:lvlJc w:val="left"/>
      <w:pPr>
        <w:ind w:left="1285" w:hanging="576"/>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nsid w:val="489E17AE"/>
    <w:multiLevelType w:val="hybridMultilevel"/>
    <w:tmpl w:val="387C67F6"/>
    <w:lvl w:ilvl="0" w:tplc="F976CB00">
      <w:start w:val="3"/>
      <w:numFmt w:val="japaneseCounting"/>
      <w:lvlText w:val="%1、"/>
      <w:lvlJc w:val="left"/>
      <w:pPr>
        <w:ind w:left="1212" w:hanging="504"/>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4">
    <w:nsid w:val="52B66318"/>
    <w:multiLevelType w:val="hybridMultilevel"/>
    <w:tmpl w:val="CF50D54E"/>
    <w:lvl w:ilvl="0" w:tplc="1ED2E738">
      <w:start w:val="2"/>
      <w:numFmt w:val="japaneseCounting"/>
      <w:lvlText w:val="%1、"/>
      <w:lvlJc w:val="left"/>
      <w:pPr>
        <w:ind w:left="1000" w:hanging="720"/>
      </w:pPr>
      <w:rPr>
        <w:rFonts w:ascii="SimHei" w:eastAsia="SimHei" w:hAnsi="SimHei" w:cs="SimHei" w:hint="default"/>
        <w:b w:val="0"/>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5">
    <w:nsid w:val="5BED6AEC"/>
    <w:multiLevelType w:val="hybridMultilevel"/>
    <w:tmpl w:val="3B4C588E"/>
    <w:lvl w:ilvl="0" w:tplc="632E71A4">
      <w:start w:val="1"/>
      <w:numFmt w:val="japaneseCounting"/>
      <w:lvlText w:val="（%1）"/>
      <w:lvlJc w:val="left"/>
      <w:pPr>
        <w:ind w:left="1564" w:hanging="864"/>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6">
    <w:nsid w:val="5E176539"/>
    <w:multiLevelType w:val="singleLevel"/>
    <w:tmpl w:val="5E176539"/>
    <w:lvl w:ilvl="0">
      <w:start w:val="1"/>
      <w:numFmt w:val="bullet"/>
      <w:lvlText w:val=""/>
      <w:lvlJc w:val="left"/>
      <w:pPr>
        <w:ind w:left="420" w:hanging="420"/>
      </w:pPr>
      <w:rPr>
        <w:rFonts w:ascii="Wingdings" w:hAnsi="Wingdings" w:hint="default"/>
      </w:rPr>
    </w:lvl>
  </w:abstractNum>
  <w:abstractNum w:abstractNumId="17">
    <w:nsid w:val="5E265C7E"/>
    <w:multiLevelType w:val="singleLevel"/>
    <w:tmpl w:val="5E265C7E"/>
    <w:lvl w:ilvl="0">
      <w:start w:val="1"/>
      <w:numFmt w:val="chineseCounting"/>
      <w:suff w:val="nothing"/>
      <w:lvlText w:val="%1、"/>
      <w:lvlJc w:val="left"/>
    </w:lvl>
  </w:abstractNum>
  <w:abstractNum w:abstractNumId="18">
    <w:nsid w:val="67172E72"/>
    <w:multiLevelType w:val="hybridMultilevel"/>
    <w:tmpl w:val="67B63664"/>
    <w:lvl w:ilvl="0" w:tplc="6CB615D8">
      <w:start w:val="3"/>
      <w:numFmt w:val="japaneseCounting"/>
      <w:lvlText w:val="%1、"/>
      <w:lvlJc w:val="left"/>
      <w:pPr>
        <w:ind w:left="1213" w:hanging="504"/>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9">
    <w:nsid w:val="75A072CE"/>
    <w:multiLevelType w:val="singleLevel"/>
    <w:tmpl w:val="75A072CE"/>
    <w:lvl w:ilvl="0">
      <w:start w:val="1"/>
      <w:numFmt w:val="bullet"/>
      <w:lvlText w:val=""/>
      <w:lvlJc w:val="left"/>
      <w:pPr>
        <w:ind w:left="420" w:hanging="420"/>
      </w:pPr>
      <w:rPr>
        <w:rFonts w:ascii="Wingdings" w:hAnsi="Wingdings" w:hint="default"/>
      </w:rPr>
    </w:lvl>
  </w:abstractNum>
  <w:abstractNum w:abstractNumId="20">
    <w:nsid w:val="7D086F8A"/>
    <w:multiLevelType w:val="hybridMultilevel"/>
    <w:tmpl w:val="4E9AC104"/>
    <w:lvl w:ilvl="0" w:tplc="DD94251E">
      <w:start w:val="6"/>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0"/>
  </w:num>
  <w:num w:numId="2">
    <w:abstractNumId w:val="19"/>
  </w:num>
  <w:num w:numId="3">
    <w:abstractNumId w:val="2"/>
  </w:num>
  <w:num w:numId="4">
    <w:abstractNumId w:val="1"/>
  </w:num>
  <w:num w:numId="5">
    <w:abstractNumId w:val="16"/>
  </w:num>
  <w:num w:numId="6">
    <w:abstractNumId w:val="9"/>
  </w:num>
  <w:num w:numId="7">
    <w:abstractNumId w:val="4"/>
  </w:num>
  <w:num w:numId="8">
    <w:abstractNumId w:val="0"/>
  </w:num>
  <w:num w:numId="9">
    <w:abstractNumId w:val="5"/>
  </w:num>
  <w:num w:numId="10">
    <w:abstractNumId w:val="3"/>
  </w:num>
  <w:num w:numId="11">
    <w:abstractNumId w:val="6"/>
  </w:num>
  <w:num w:numId="12">
    <w:abstractNumId w:val="17"/>
  </w:num>
  <w:num w:numId="13">
    <w:abstractNumId w:val="14"/>
  </w:num>
  <w:num w:numId="14">
    <w:abstractNumId w:val="7"/>
  </w:num>
  <w:num w:numId="15">
    <w:abstractNumId w:val="12"/>
  </w:num>
  <w:num w:numId="16">
    <w:abstractNumId w:val="15"/>
  </w:num>
  <w:num w:numId="17">
    <w:abstractNumId w:val="20"/>
  </w:num>
  <w:num w:numId="18">
    <w:abstractNumId w:val="18"/>
  </w:num>
  <w:num w:numId="19">
    <w:abstractNumId w:val="8"/>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gxYzU0NTQ0YzQ1YWE5YmZlM2M3ZmNmNWNlYTdmZjYifQ=="/>
  </w:docVars>
  <w:rsids>
    <w:rsidRoot w:val="00DE03C5"/>
    <w:rsid w:val="0004562F"/>
    <w:rsid w:val="00047C65"/>
    <w:rsid w:val="000F53E1"/>
    <w:rsid w:val="001050CE"/>
    <w:rsid w:val="0018733F"/>
    <w:rsid w:val="001A3845"/>
    <w:rsid w:val="001A7E99"/>
    <w:rsid w:val="00217599"/>
    <w:rsid w:val="00270A5D"/>
    <w:rsid w:val="002761FA"/>
    <w:rsid w:val="002810EC"/>
    <w:rsid w:val="00295871"/>
    <w:rsid w:val="002A1CAF"/>
    <w:rsid w:val="00305EAD"/>
    <w:rsid w:val="00335DF0"/>
    <w:rsid w:val="003971C4"/>
    <w:rsid w:val="00403715"/>
    <w:rsid w:val="00497024"/>
    <w:rsid w:val="00590D52"/>
    <w:rsid w:val="00623550"/>
    <w:rsid w:val="00623977"/>
    <w:rsid w:val="00647C32"/>
    <w:rsid w:val="006A465C"/>
    <w:rsid w:val="006C0985"/>
    <w:rsid w:val="006C1828"/>
    <w:rsid w:val="006E3032"/>
    <w:rsid w:val="007552A5"/>
    <w:rsid w:val="00756ECB"/>
    <w:rsid w:val="00787FD0"/>
    <w:rsid w:val="007A6C17"/>
    <w:rsid w:val="00843CC2"/>
    <w:rsid w:val="00896E82"/>
    <w:rsid w:val="008C0EA1"/>
    <w:rsid w:val="0091469D"/>
    <w:rsid w:val="00930B27"/>
    <w:rsid w:val="00960969"/>
    <w:rsid w:val="00983645"/>
    <w:rsid w:val="00A67805"/>
    <w:rsid w:val="00AC12B6"/>
    <w:rsid w:val="00B417AD"/>
    <w:rsid w:val="00B72C4A"/>
    <w:rsid w:val="00B73973"/>
    <w:rsid w:val="00B97A78"/>
    <w:rsid w:val="00C236F0"/>
    <w:rsid w:val="00C502AA"/>
    <w:rsid w:val="00C62856"/>
    <w:rsid w:val="00CA029A"/>
    <w:rsid w:val="00D16591"/>
    <w:rsid w:val="00D52002"/>
    <w:rsid w:val="00DC6F5E"/>
    <w:rsid w:val="00DE03C5"/>
    <w:rsid w:val="00EA7365"/>
    <w:rsid w:val="00EC083C"/>
    <w:rsid w:val="00ED5991"/>
    <w:rsid w:val="00EF3A93"/>
    <w:rsid w:val="00F77430"/>
    <w:rsid w:val="00FC487F"/>
    <w:rsid w:val="00FD380B"/>
    <w:rsid w:val="056E2932"/>
    <w:rsid w:val="09774987"/>
    <w:rsid w:val="14383989"/>
    <w:rsid w:val="15AC59B8"/>
    <w:rsid w:val="15F86E50"/>
    <w:rsid w:val="171F06C2"/>
    <w:rsid w:val="198804EA"/>
    <w:rsid w:val="20DB2052"/>
    <w:rsid w:val="22094EF8"/>
    <w:rsid w:val="222B5EB7"/>
    <w:rsid w:val="22F5428D"/>
    <w:rsid w:val="230010F2"/>
    <w:rsid w:val="233C7869"/>
    <w:rsid w:val="25206238"/>
    <w:rsid w:val="30EC7E97"/>
    <w:rsid w:val="3A40479E"/>
    <w:rsid w:val="3BAE3989"/>
    <w:rsid w:val="3BC45EB1"/>
    <w:rsid w:val="3BFB4906"/>
    <w:rsid w:val="3C2B6D87"/>
    <w:rsid w:val="43D4692D"/>
    <w:rsid w:val="471A08CC"/>
    <w:rsid w:val="5BF63C0C"/>
    <w:rsid w:val="5F651EF5"/>
    <w:rsid w:val="69F12B0F"/>
    <w:rsid w:val="6BCA3618"/>
    <w:rsid w:val="6DA5345C"/>
    <w:rsid w:val="70E00746"/>
    <w:rsid w:val="73134D9A"/>
    <w:rsid w:val="76832243"/>
    <w:rsid w:val="7A526F79"/>
    <w:rsid w:val="7BE62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9A"/>
    <w:pPr>
      <w:widowControl w:val="0"/>
      <w:jc w:val="both"/>
    </w:pPr>
    <w:rPr>
      <w:rFonts w:ascii="Times New Roman" w:eastAsia="SimSun" w:hAnsi="Times New Roman" w:cs="Times New Roman"/>
      <w:kern w:val="2"/>
      <w:sz w:val="21"/>
      <w:szCs w:val="24"/>
    </w:rPr>
  </w:style>
  <w:style w:type="paragraph" w:styleId="1">
    <w:name w:val="heading 1"/>
    <w:basedOn w:val="a"/>
    <w:next w:val="a"/>
    <w:uiPriority w:val="9"/>
    <w:qFormat/>
    <w:rsid w:val="00CA029A"/>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A029A"/>
    <w:pPr>
      <w:spacing w:beforeAutospacing="1" w:afterAutospacing="1"/>
      <w:jc w:val="left"/>
    </w:pPr>
    <w:rPr>
      <w:kern w:val="0"/>
      <w:sz w:val="24"/>
    </w:rPr>
  </w:style>
  <w:style w:type="character" w:styleId="a4">
    <w:name w:val="Strong"/>
    <w:basedOn w:val="a0"/>
    <w:uiPriority w:val="22"/>
    <w:qFormat/>
    <w:rsid w:val="00CA029A"/>
    <w:rPr>
      <w:b/>
    </w:rPr>
  </w:style>
  <w:style w:type="paragraph" w:styleId="a5">
    <w:name w:val="header"/>
    <w:basedOn w:val="a"/>
    <w:link w:val="Char"/>
    <w:uiPriority w:val="99"/>
    <w:semiHidden/>
    <w:unhideWhenUsed/>
    <w:rsid w:val="00D16591"/>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5"/>
    <w:uiPriority w:val="99"/>
    <w:semiHidden/>
    <w:rsid w:val="00D16591"/>
    <w:rPr>
      <w:rFonts w:ascii="Times New Roman" w:eastAsia="SimSun" w:hAnsi="Times New Roman" w:cs="Times New Roman"/>
      <w:kern w:val="2"/>
      <w:sz w:val="18"/>
      <w:szCs w:val="18"/>
    </w:rPr>
  </w:style>
  <w:style w:type="paragraph" w:styleId="a6">
    <w:name w:val="footer"/>
    <w:basedOn w:val="a"/>
    <w:link w:val="Char0"/>
    <w:uiPriority w:val="99"/>
    <w:semiHidden/>
    <w:unhideWhenUsed/>
    <w:rsid w:val="00D16591"/>
    <w:pPr>
      <w:tabs>
        <w:tab w:val="center" w:pos="4513"/>
        <w:tab w:val="right" w:pos="9026"/>
      </w:tabs>
      <w:snapToGrid w:val="0"/>
      <w:jc w:val="left"/>
    </w:pPr>
    <w:rPr>
      <w:sz w:val="18"/>
      <w:szCs w:val="18"/>
    </w:rPr>
  </w:style>
  <w:style w:type="character" w:customStyle="1" w:styleId="Char0">
    <w:name w:val="页脚 Char"/>
    <w:basedOn w:val="a0"/>
    <w:link w:val="a6"/>
    <w:uiPriority w:val="99"/>
    <w:semiHidden/>
    <w:rsid w:val="00D16591"/>
    <w:rPr>
      <w:rFonts w:ascii="Times New Roman" w:eastAsia="SimSun" w:hAnsi="Times New Roman" w:cs="Times New Roman"/>
      <w:kern w:val="2"/>
      <w:sz w:val="18"/>
      <w:szCs w:val="18"/>
    </w:rPr>
  </w:style>
  <w:style w:type="paragraph" w:styleId="a7">
    <w:name w:val="Balloon Text"/>
    <w:basedOn w:val="a"/>
    <w:link w:val="Char1"/>
    <w:uiPriority w:val="99"/>
    <w:semiHidden/>
    <w:unhideWhenUsed/>
    <w:rsid w:val="00D16591"/>
    <w:rPr>
      <w:sz w:val="18"/>
      <w:szCs w:val="18"/>
    </w:rPr>
  </w:style>
  <w:style w:type="character" w:customStyle="1" w:styleId="Char1">
    <w:name w:val="批注框文本 Char"/>
    <w:basedOn w:val="a0"/>
    <w:link w:val="a7"/>
    <w:uiPriority w:val="99"/>
    <w:semiHidden/>
    <w:rsid w:val="00D16591"/>
    <w:rPr>
      <w:rFonts w:ascii="Times New Roman" w:eastAsia="SimSun" w:hAnsi="Times New Roman" w:cs="Times New Roman"/>
      <w:kern w:val="2"/>
      <w:sz w:val="18"/>
      <w:szCs w:val="18"/>
    </w:rPr>
  </w:style>
  <w:style w:type="paragraph" w:styleId="a8">
    <w:name w:val="List Paragraph"/>
    <w:basedOn w:val="a"/>
    <w:uiPriority w:val="99"/>
    <w:unhideWhenUsed/>
    <w:rsid w:val="00295871"/>
    <w:pPr>
      <w:ind w:firstLineChars="200" w:firstLine="420"/>
    </w:pPr>
  </w:style>
  <w:style w:type="character" w:styleId="a9">
    <w:name w:val="Emphasis"/>
    <w:basedOn w:val="a0"/>
    <w:uiPriority w:val="20"/>
    <w:qFormat/>
    <w:rsid w:val="00497024"/>
    <w:rPr>
      <w:i/>
      <w:iCs/>
    </w:rPr>
  </w:style>
</w:styles>
</file>

<file path=word/webSettings.xml><?xml version="1.0" encoding="utf-8"?>
<w:webSettings xmlns:r="http://schemas.openxmlformats.org/officeDocument/2006/relationships" xmlns:w="http://schemas.openxmlformats.org/wordprocessingml/2006/main">
  <w:divs>
    <w:div w:id="56513482">
      <w:bodyDiv w:val="1"/>
      <w:marLeft w:val="0"/>
      <w:marRight w:val="0"/>
      <w:marTop w:val="0"/>
      <w:marBottom w:val="0"/>
      <w:divBdr>
        <w:top w:val="none" w:sz="0" w:space="0" w:color="auto"/>
        <w:left w:val="none" w:sz="0" w:space="0" w:color="auto"/>
        <w:bottom w:val="none" w:sz="0" w:space="0" w:color="auto"/>
        <w:right w:val="none" w:sz="0" w:space="0" w:color="auto"/>
      </w:divBdr>
      <w:divsChild>
        <w:div w:id="1584334469">
          <w:marLeft w:val="0"/>
          <w:marRight w:val="0"/>
          <w:marTop w:val="288"/>
          <w:marBottom w:val="0"/>
          <w:divBdr>
            <w:top w:val="none" w:sz="0" w:space="0" w:color="auto"/>
            <w:left w:val="none" w:sz="0" w:space="0" w:color="auto"/>
            <w:bottom w:val="none" w:sz="0" w:space="0" w:color="auto"/>
            <w:right w:val="none" w:sz="0" w:space="0" w:color="auto"/>
          </w:divBdr>
        </w:div>
        <w:div w:id="611740980">
          <w:marLeft w:val="0"/>
          <w:marRight w:val="0"/>
          <w:marTop w:val="288"/>
          <w:marBottom w:val="0"/>
          <w:divBdr>
            <w:top w:val="none" w:sz="0" w:space="0" w:color="auto"/>
            <w:left w:val="none" w:sz="0" w:space="0" w:color="auto"/>
            <w:bottom w:val="none" w:sz="0" w:space="0" w:color="auto"/>
            <w:right w:val="none" w:sz="0" w:space="0" w:color="auto"/>
          </w:divBdr>
        </w:div>
        <w:div w:id="57897291">
          <w:marLeft w:val="0"/>
          <w:marRight w:val="0"/>
          <w:marTop w:val="288"/>
          <w:marBottom w:val="0"/>
          <w:divBdr>
            <w:top w:val="none" w:sz="0" w:space="0" w:color="auto"/>
            <w:left w:val="none" w:sz="0" w:space="0" w:color="auto"/>
            <w:bottom w:val="none" w:sz="0" w:space="0" w:color="auto"/>
            <w:right w:val="none" w:sz="0" w:space="0" w:color="auto"/>
          </w:divBdr>
        </w:div>
      </w:divsChild>
    </w:div>
    <w:div w:id="415060453">
      <w:bodyDiv w:val="1"/>
      <w:marLeft w:val="0"/>
      <w:marRight w:val="0"/>
      <w:marTop w:val="0"/>
      <w:marBottom w:val="0"/>
      <w:divBdr>
        <w:top w:val="none" w:sz="0" w:space="0" w:color="auto"/>
        <w:left w:val="none" w:sz="0" w:space="0" w:color="auto"/>
        <w:bottom w:val="none" w:sz="0" w:space="0" w:color="auto"/>
        <w:right w:val="none" w:sz="0" w:space="0" w:color="auto"/>
      </w:divBdr>
      <w:divsChild>
        <w:div w:id="1826778278">
          <w:marLeft w:val="0"/>
          <w:marRight w:val="0"/>
          <w:marTop w:val="288"/>
          <w:marBottom w:val="0"/>
          <w:divBdr>
            <w:top w:val="none" w:sz="0" w:space="0" w:color="auto"/>
            <w:left w:val="none" w:sz="0" w:space="0" w:color="auto"/>
            <w:bottom w:val="none" w:sz="0" w:space="0" w:color="auto"/>
            <w:right w:val="none" w:sz="0" w:space="0" w:color="auto"/>
          </w:divBdr>
        </w:div>
        <w:div w:id="869033555">
          <w:marLeft w:val="0"/>
          <w:marRight w:val="0"/>
          <w:marTop w:val="288"/>
          <w:marBottom w:val="0"/>
          <w:divBdr>
            <w:top w:val="none" w:sz="0" w:space="0" w:color="auto"/>
            <w:left w:val="none" w:sz="0" w:space="0" w:color="auto"/>
            <w:bottom w:val="none" w:sz="0" w:space="0" w:color="auto"/>
            <w:right w:val="none" w:sz="0" w:space="0" w:color="auto"/>
          </w:divBdr>
        </w:div>
      </w:divsChild>
    </w:div>
    <w:div w:id="661196886">
      <w:bodyDiv w:val="1"/>
      <w:marLeft w:val="0"/>
      <w:marRight w:val="0"/>
      <w:marTop w:val="0"/>
      <w:marBottom w:val="0"/>
      <w:divBdr>
        <w:top w:val="none" w:sz="0" w:space="0" w:color="auto"/>
        <w:left w:val="none" w:sz="0" w:space="0" w:color="auto"/>
        <w:bottom w:val="none" w:sz="0" w:space="0" w:color="auto"/>
        <w:right w:val="none" w:sz="0" w:space="0" w:color="auto"/>
      </w:divBdr>
    </w:div>
    <w:div w:id="707293312">
      <w:bodyDiv w:val="1"/>
      <w:marLeft w:val="0"/>
      <w:marRight w:val="0"/>
      <w:marTop w:val="0"/>
      <w:marBottom w:val="0"/>
      <w:divBdr>
        <w:top w:val="none" w:sz="0" w:space="0" w:color="auto"/>
        <w:left w:val="none" w:sz="0" w:space="0" w:color="auto"/>
        <w:bottom w:val="none" w:sz="0" w:space="0" w:color="auto"/>
        <w:right w:val="none" w:sz="0" w:space="0" w:color="auto"/>
      </w:divBdr>
    </w:div>
    <w:div w:id="1429156057">
      <w:bodyDiv w:val="1"/>
      <w:marLeft w:val="0"/>
      <w:marRight w:val="0"/>
      <w:marTop w:val="0"/>
      <w:marBottom w:val="0"/>
      <w:divBdr>
        <w:top w:val="none" w:sz="0" w:space="0" w:color="auto"/>
        <w:left w:val="none" w:sz="0" w:space="0" w:color="auto"/>
        <w:bottom w:val="none" w:sz="0" w:space="0" w:color="auto"/>
        <w:right w:val="none" w:sz="0" w:space="0" w:color="auto"/>
      </w:divBdr>
      <w:divsChild>
        <w:div w:id="1239363466">
          <w:marLeft w:val="0"/>
          <w:marRight w:val="0"/>
          <w:marTop w:val="288"/>
          <w:marBottom w:val="0"/>
          <w:divBdr>
            <w:top w:val="none" w:sz="0" w:space="0" w:color="auto"/>
            <w:left w:val="none" w:sz="0" w:space="0" w:color="auto"/>
            <w:bottom w:val="none" w:sz="0" w:space="0" w:color="auto"/>
            <w:right w:val="none" w:sz="0" w:space="0" w:color="auto"/>
          </w:divBdr>
        </w:div>
        <w:div w:id="1729918871">
          <w:marLeft w:val="0"/>
          <w:marRight w:val="0"/>
          <w:marTop w:val="288"/>
          <w:marBottom w:val="0"/>
          <w:divBdr>
            <w:top w:val="none" w:sz="0" w:space="0" w:color="auto"/>
            <w:left w:val="none" w:sz="0" w:space="0" w:color="auto"/>
            <w:bottom w:val="none" w:sz="0" w:space="0" w:color="auto"/>
            <w:right w:val="none" w:sz="0" w:space="0" w:color="auto"/>
          </w:divBdr>
        </w:div>
        <w:div w:id="2093315239">
          <w:marLeft w:val="0"/>
          <w:marRight w:val="0"/>
          <w:marTop w:val="28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611</Words>
  <Characters>3488</Characters>
  <Application>Microsoft Office Word</Application>
  <DocSecurity>0</DocSecurity>
  <Lines>29</Lines>
  <Paragraphs>8</Paragraphs>
  <ScaleCrop>false</ScaleCrop>
  <Company>微软中国</Company>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windows7正版</dc:creator>
  <cp:lastModifiedBy>wei sun</cp:lastModifiedBy>
  <cp:revision>4</cp:revision>
  <dcterms:created xsi:type="dcterms:W3CDTF">2024-06-17T16:48:00Z</dcterms:created>
  <dcterms:modified xsi:type="dcterms:W3CDTF">2024-06-17T16:54:00Z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7C7D10A95A9048CC9855A0D82B8B695C_12</vt:lpwstr>
  </property>
</Properties>
</file>